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NMCARS_PART" w:id="0"/>
      <w:r>
        <w:rPr>
          <w:rFonts w:ascii="Times New Roman" w:hAnsi="Times New Roman"/>
          <w:color w:val="000000"/>
          <w:sz w:val="48"/>
        </w:rPr>
        <w:t>PART</w:t>
      </w:r>
      <w:r>
        <w:rPr>
          <w:rFonts w:ascii="Times New Roman" w:hAnsi="Times New Roman"/>
          <w:color w:val="000000"/>
          <w:sz w:val="48"/>
        </w:rPr>
        <w:t xml:space="preserve"> 5217 SPECIAL CONTRACTING METHODS</w:t>
      </w:r>
      <w:bookmarkEnd w:id="0"/>
    </w:p>
    <w:p>
      <w:pPr>
        <w:spacing w:after="0"/>
        <w:jc w:val="left"/>
        <w:ind w:left="720" w:hanging="360"/>
      </w:pPr>
      <w:hyperlink w:anchor="NMCARS_SUBPART_5217.1">
        <w:r>
          <w:rPr>
            <w:rStyle w:val="Hyperlink"/>
            <w:rFonts w:ascii="Times New Roman" w:hAnsi="Times New Roman"/>
            <w:b w:val="false"/>
            <w:i w:val="false"/>
            <w:color w:val="0000ff"/>
            <w:sz w:val="22"/>
            <w:u w:val="single"/>
          </w:rPr>
          <w:t>SUBPART 5217.1 — MULTI–YEAR CONTRACTING</w:t>
        </w:r>
      </w:hyperlink>
    </w:p>
    <w:p>
      <w:pPr>
        <w:spacing w:after="0"/>
        <w:jc w:val="left"/>
        <w:ind w:left="1440" w:hanging="360"/>
      </w:pPr>
      <w:hyperlink w:anchor="NMCARS_5217.105">
        <w:r>
          <w:rPr>
            <w:rStyle w:val="Hyperlink"/>
            <w:rFonts w:ascii="Times New Roman" w:hAnsi="Times New Roman"/>
            <w:b w:val="false"/>
            <w:i w:val="false"/>
            <w:color w:val="0000ff"/>
            <w:sz w:val="22"/>
            <w:u w:val="single"/>
          </w:rPr>
          <w:t>5217.105 Policy.</w:t>
        </w:r>
      </w:hyperlink>
    </w:p>
    <w:p>
      <w:pPr>
        <w:spacing w:after="0"/>
        <w:jc w:val="left"/>
        <w:ind w:left="2160" w:hanging="180"/>
      </w:pPr>
      <w:hyperlink w:anchor="NMCARS_5217.1051">
        <w:r>
          <w:rPr>
            <w:rStyle w:val="Hyperlink"/>
            <w:rFonts w:ascii="Times New Roman" w:hAnsi="Times New Roman"/>
            <w:b w:val="false"/>
            <w:i w:val="false"/>
            <w:color w:val="0000ff"/>
            <w:sz w:val="22"/>
            <w:u w:val="single"/>
          </w:rPr>
          <w:t>5217.105-1 Uses.</w:t>
        </w:r>
      </w:hyperlink>
    </w:p>
    <w:p>
      <w:pPr>
        <w:spacing w:after="0"/>
        <w:jc w:val="left"/>
        <w:ind w:left="1440" w:hanging="360"/>
      </w:pPr>
      <w:hyperlink w:anchor="NMCARS_5217.170">
        <w:r>
          <w:rPr>
            <w:rStyle w:val="Hyperlink"/>
            <w:rFonts w:ascii="Times New Roman" w:hAnsi="Times New Roman"/>
            <w:b w:val="false"/>
            <w:i w:val="false"/>
            <w:color w:val="0000ff"/>
            <w:sz w:val="22"/>
            <w:u w:val="single"/>
          </w:rPr>
          <w:t>5217.170 General.</w:t>
        </w:r>
      </w:hyperlink>
    </w:p>
    <w:p>
      <w:pPr>
        <w:spacing w:after="0"/>
        <w:jc w:val="left"/>
        <w:ind w:left="1440" w:hanging="360"/>
      </w:pPr>
      <w:hyperlink w:anchor="NMCARS_5217.171">
        <w:r>
          <w:rPr>
            <w:rStyle w:val="Hyperlink"/>
            <w:rFonts w:ascii="Times New Roman" w:hAnsi="Times New Roman"/>
            <w:b w:val="false"/>
            <w:i w:val="false"/>
            <w:color w:val="0000ff"/>
            <w:sz w:val="22"/>
            <w:u w:val="single"/>
          </w:rPr>
          <w:t>5217.171 Multiyear contracts for services.</w:t>
        </w:r>
      </w:hyperlink>
    </w:p>
    <w:p>
      <w:pPr>
        <w:spacing w:after="0"/>
        <w:jc w:val="left"/>
        <w:ind w:left="1440" w:hanging="360"/>
      </w:pPr>
      <w:hyperlink w:anchor="NMCARS_5217.172">
        <w:r>
          <w:rPr>
            <w:rStyle w:val="Hyperlink"/>
            <w:rFonts w:ascii="Times New Roman" w:hAnsi="Times New Roman"/>
            <w:b w:val="false"/>
            <w:i w:val="false"/>
            <w:color w:val="0000ff"/>
            <w:sz w:val="22"/>
            <w:u w:val="single"/>
          </w:rPr>
          <w:t>5217.172 Multiyear contracts for supplies.</w:t>
        </w:r>
      </w:hyperlink>
    </w:p>
    <w:p>
      <w:pPr>
        <w:spacing w:after="0"/>
        <w:jc w:val="left"/>
        <w:ind w:left="2160" w:hanging="360"/>
      </w:pPr>
      <w:hyperlink w:anchor="NMCARS_5217.17290">
        <w:r>
          <w:rPr>
            <w:rStyle w:val="Hyperlink"/>
            <w:rFonts w:ascii="Times New Roman" w:hAnsi="Times New Roman"/>
            <w:b w:val="false"/>
            <w:i w:val="false"/>
            <w:color w:val="0000ff"/>
            <w:sz w:val="22"/>
            <w:u w:val="single"/>
          </w:rPr>
          <w:t>5217.172-90 Multiyear contracts for supplies.</w:t>
        </w:r>
      </w:hyperlink>
    </w:p>
    <w:p>
      <w:pPr>
        <w:spacing w:after="0"/>
        <w:jc w:val="left"/>
        <w:ind w:left="1440" w:hanging="360"/>
      </w:pPr>
      <w:hyperlink w:anchor="NMCARS_5217.174">
        <w:r>
          <w:rPr>
            <w:rStyle w:val="Hyperlink"/>
            <w:rFonts w:ascii="Times New Roman" w:hAnsi="Times New Roman"/>
            <w:b w:val="false"/>
            <w:i w:val="false"/>
            <w:color w:val="0000ff"/>
            <w:sz w:val="22"/>
            <w:u w:val="single"/>
          </w:rPr>
          <w:t>5217.174 Multiyear contracts for electricity from renewable energy sources.</w:t>
        </w:r>
      </w:hyperlink>
    </w:p>
    <w:p>
      <w:pPr>
        <w:spacing w:after="0"/>
        <w:jc w:val="left"/>
        <w:ind w:left="720" w:hanging="360"/>
      </w:pPr>
      <w:hyperlink w:anchor="NMCARS_SUBPART_5217.2">
        <w:r>
          <w:rPr>
            <w:rStyle w:val="Hyperlink"/>
            <w:rFonts w:ascii="Times New Roman" w:hAnsi="Times New Roman"/>
            <w:b w:val="false"/>
            <w:i w:val="false"/>
            <w:color w:val="0000ff"/>
            <w:sz w:val="22"/>
            <w:u w:val="single"/>
          </w:rPr>
          <w:t>SUBPART 5217.2 — OPTIONS</w:t>
        </w:r>
      </w:hyperlink>
    </w:p>
    <w:p>
      <w:pPr>
        <w:spacing w:after="0"/>
        <w:jc w:val="left"/>
        <w:ind w:left="1440" w:hanging="360"/>
      </w:pPr>
      <w:hyperlink w:anchor="NMCARS_5217.200">
        <w:r>
          <w:rPr>
            <w:rStyle w:val="Hyperlink"/>
            <w:rFonts w:ascii="Times New Roman" w:hAnsi="Times New Roman"/>
            <w:b w:val="false"/>
            <w:i w:val="false"/>
            <w:color w:val="0000ff"/>
            <w:sz w:val="22"/>
            <w:u w:val="single"/>
          </w:rPr>
          <w:t>5217.200 Scope of Subpart.</w:t>
        </w:r>
      </w:hyperlink>
    </w:p>
    <w:p>
      <w:pPr>
        <w:spacing w:after="0"/>
        <w:jc w:val="left"/>
        <w:ind w:left="1440" w:hanging="360"/>
      </w:pPr>
      <w:hyperlink w:anchor="NMCARS_5217.204">
        <w:r>
          <w:rPr>
            <w:rStyle w:val="Hyperlink"/>
            <w:rFonts w:ascii="Times New Roman" w:hAnsi="Times New Roman"/>
            <w:b w:val="false"/>
            <w:i w:val="false"/>
            <w:color w:val="0000ff"/>
            <w:sz w:val="22"/>
            <w:u w:val="single"/>
          </w:rPr>
          <w:t>5217.204 Contracts.</w:t>
        </w:r>
      </w:hyperlink>
    </w:p>
    <w:p>
      <w:pPr>
        <w:spacing w:after="0"/>
        <w:jc w:val="left"/>
        <w:ind w:left="1440" w:hanging="360"/>
      </w:pPr>
      <w:hyperlink w:anchor="NMCARS_5217.207">
        <w:r>
          <w:rPr>
            <w:rStyle w:val="Hyperlink"/>
            <w:rFonts w:ascii="Times New Roman" w:hAnsi="Times New Roman"/>
            <w:b w:val="false"/>
            <w:i w:val="false"/>
            <w:color w:val="0000ff"/>
            <w:sz w:val="22"/>
            <w:u w:val="single"/>
          </w:rPr>
          <w:t>5217.207 Exercise of Options.</w:t>
        </w:r>
      </w:hyperlink>
    </w:p>
    <w:p>
      <w:pPr>
        <w:spacing w:after="0"/>
        <w:jc w:val="left"/>
        <w:ind w:left="720" w:hanging="360"/>
      </w:pPr>
      <w:hyperlink w:anchor="NMCARS_SUBPART_5217.5">
        <w:r>
          <w:rPr>
            <w:rStyle w:val="Hyperlink"/>
            <w:rFonts w:ascii="Times New Roman" w:hAnsi="Times New Roman"/>
            <w:b w:val="false"/>
            <w:i w:val="false"/>
            <w:color w:val="0000ff"/>
            <w:sz w:val="22"/>
            <w:u w:val="single"/>
          </w:rPr>
          <w:t>SUBPART 5217.5 — INTERAGENCY ACQUISITIONS</w:t>
        </w:r>
      </w:hyperlink>
    </w:p>
    <w:p>
      <w:pPr>
        <w:spacing w:after="0"/>
        <w:jc w:val="left"/>
        <w:ind w:left="1440" w:hanging="360"/>
      </w:pPr>
      <w:hyperlink w:anchor="NMCARS_5217.502">
        <w:r>
          <w:rPr>
            <w:rStyle w:val="Hyperlink"/>
            <w:rFonts w:ascii="Times New Roman" w:hAnsi="Times New Roman"/>
            <w:b w:val="false"/>
            <w:i w:val="false"/>
            <w:color w:val="0000ff"/>
            <w:sz w:val="22"/>
            <w:u w:val="single"/>
          </w:rPr>
          <w:t>5217.502 Procedures.</w:t>
        </w:r>
      </w:hyperlink>
    </w:p>
    <w:p>
      <w:pPr>
        <w:spacing w:after="0"/>
        <w:jc w:val="left"/>
        <w:ind w:left="2160" w:hanging="180"/>
      </w:pPr>
      <w:hyperlink w:anchor="NMCARS_5217.5021">
        <w:r>
          <w:rPr>
            <w:rStyle w:val="Hyperlink"/>
            <w:rFonts w:ascii="Times New Roman" w:hAnsi="Times New Roman"/>
            <w:b w:val="false"/>
            <w:i w:val="false"/>
            <w:color w:val="0000ff"/>
            <w:sz w:val="22"/>
            <w:u w:val="single"/>
          </w:rPr>
          <w:t>5217.502-1 General.</w:t>
        </w:r>
      </w:hyperlink>
    </w:p>
    <w:p>
      <w:pPr>
        <w:spacing w:after="0"/>
        <w:jc w:val="left"/>
        <w:ind w:left="2160" w:hanging="180"/>
      </w:pPr>
      <w:hyperlink w:anchor="NMCARS_5217.5022">
        <w:r>
          <w:rPr>
            <w:rStyle w:val="Hyperlink"/>
            <w:rFonts w:ascii="Times New Roman" w:hAnsi="Times New Roman"/>
            <w:b w:val="false"/>
            <w:i w:val="false"/>
            <w:color w:val="0000ff"/>
            <w:sz w:val="22"/>
            <w:u w:val="single"/>
          </w:rPr>
          <w:t>5217.502-2 The Economy Act.</w:t>
        </w:r>
      </w:hyperlink>
    </w:p>
    <w:p>
      <w:pPr>
        <w:spacing w:after="0"/>
        <w:jc w:val="left"/>
        <w:ind w:left="720" w:hanging="360"/>
      </w:pPr>
      <w:hyperlink w:anchor="NMCARS_SUBPART_5217.7">
        <w:r>
          <w:rPr>
            <w:rStyle w:val="Hyperlink"/>
            <w:rFonts w:ascii="Times New Roman" w:hAnsi="Times New Roman"/>
            <w:b w:val="false"/>
            <w:i w:val="false"/>
            <w:color w:val="0000ff"/>
            <w:sz w:val="22"/>
            <w:u w:val="single"/>
          </w:rPr>
          <w:t>SUBPART 5217.7 — INTERAGENCY ACQUISITIONS: ACQUISITIONS BY NONDEFENSE AGENCIES ON BEHALF OF THE DEPARTMENT OF DEFENSE</w:t>
        </w:r>
      </w:hyperlink>
    </w:p>
    <w:p>
      <w:pPr>
        <w:spacing w:after="0"/>
        <w:jc w:val="left"/>
        <w:ind w:left="1440" w:hanging="360"/>
      </w:pPr>
      <w:hyperlink w:anchor="NMCARS_5217.703">
        <w:r>
          <w:rPr>
            <w:rStyle w:val="Hyperlink"/>
            <w:rFonts w:ascii="Times New Roman" w:hAnsi="Times New Roman"/>
            <w:b w:val="false"/>
            <w:i w:val="false"/>
            <w:color w:val="0000ff"/>
            <w:sz w:val="22"/>
            <w:u w:val="single"/>
          </w:rPr>
          <w:t>5217.703 Policy.</w:t>
        </w:r>
      </w:hyperlink>
    </w:p>
    <w:p>
      <w:pPr>
        <w:spacing w:after="0"/>
        <w:jc w:val="left"/>
        <w:ind w:left="1440" w:hanging="360"/>
      </w:pPr>
      <w:hyperlink w:anchor="NMCARS_5217.770">
        <w:r>
          <w:rPr>
            <w:rStyle w:val="Hyperlink"/>
            <w:rFonts w:ascii="Times New Roman" w:hAnsi="Times New Roman"/>
            <w:b w:val="false"/>
            <w:i w:val="false"/>
            <w:color w:val="0000ff"/>
            <w:sz w:val="22"/>
            <w:u w:val="single"/>
          </w:rPr>
          <w:t>5217.770 Procedures.</w:t>
        </w:r>
      </w:hyperlink>
    </w:p>
    <w:p>
      <w:pPr>
        <w:spacing w:after="0"/>
        <w:jc w:val="left"/>
        <w:ind w:left="720" w:hanging="360"/>
      </w:pPr>
      <w:hyperlink w:anchor="NMCARS_SUBPART_5217.74">
        <w:r>
          <w:rPr>
            <w:rStyle w:val="Hyperlink"/>
            <w:rFonts w:ascii="Times New Roman" w:hAnsi="Times New Roman"/>
            <w:b w:val="false"/>
            <w:i w:val="false"/>
            <w:color w:val="0000ff"/>
            <w:sz w:val="22"/>
            <w:u w:val="single"/>
          </w:rPr>
          <w:t>SUBPART 5217.74 — UNDEFINITIZED CONTRACT ACTIONS</w:t>
        </w:r>
      </w:hyperlink>
    </w:p>
    <w:p>
      <w:pPr>
        <w:spacing w:after="0"/>
        <w:jc w:val="left"/>
        <w:ind w:left="1440" w:hanging="360"/>
      </w:pPr>
      <w:hyperlink w:anchor="NMCARS_5217.7402">
        <w:r>
          <w:rPr>
            <w:rStyle w:val="Hyperlink"/>
            <w:rFonts w:ascii="Times New Roman" w:hAnsi="Times New Roman"/>
            <w:b w:val="false"/>
            <w:i w:val="false"/>
            <w:color w:val="0000ff"/>
            <w:sz w:val="22"/>
            <w:u w:val="single"/>
          </w:rPr>
          <w:t>5217.7402 Exceptions.</w:t>
        </w:r>
      </w:hyperlink>
    </w:p>
    <w:p>
      <w:pPr>
        <w:spacing w:after="0"/>
        <w:jc w:val="left"/>
        <w:ind w:left="1440" w:hanging="360"/>
      </w:pPr>
      <w:hyperlink w:anchor="NMCARS_5217.7404">
        <w:r>
          <w:rPr>
            <w:rStyle w:val="Hyperlink"/>
            <w:rFonts w:ascii="Times New Roman" w:hAnsi="Times New Roman"/>
            <w:b w:val="false"/>
            <w:i w:val="false"/>
            <w:color w:val="0000ff"/>
            <w:sz w:val="22"/>
            <w:u w:val="single"/>
          </w:rPr>
          <w:t>5217.7404 Limitations.</w:t>
        </w:r>
      </w:hyperlink>
    </w:p>
    <w:p>
      <w:pPr>
        <w:spacing w:after="0"/>
        <w:jc w:val="left"/>
        <w:ind w:left="2160" w:hanging="180"/>
      </w:pPr>
      <w:hyperlink w:anchor="NMCARS_5217.74043">
        <w:r>
          <w:rPr>
            <w:rStyle w:val="Hyperlink"/>
            <w:rFonts w:ascii="Times New Roman" w:hAnsi="Times New Roman"/>
            <w:b w:val="false"/>
            <w:i w:val="false"/>
            <w:color w:val="0000ff"/>
            <w:sz w:val="22"/>
            <w:u w:val="single"/>
          </w:rPr>
          <w:t>5217.7404-3 Definitization Schedule.</w:t>
        </w:r>
      </w:hyperlink>
    </w:p>
    <w:p>
      <w:pPr>
        <w:spacing w:after="0"/>
        <w:jc w:val="left"/>
        <w:ind w:left="2880" w:hanging="360"/>
      </w:pPr>
      <w:hyperlink w:anchor="NMCARS_5217.74045">
        <w:r>
          <w:rPr>
            <w:rStyle w:val="Hyperlink"/>
            <w:rFonts w:ascii="Times New Roman" w:hAnsi="Times New Roman"/>
            <w:b w:val="false"/>
            <w:i w:val="false"/>
            <w:color w:val="0000ff"/>
            <w:sz w:val="22"/>
            <w:u w:val="single"/>
          </w:rPr>
          <w:t>5217.7404-5 Exceptions.</w:t>
        </w:r>
      </w:hyperlink>
    </w:p>
    <w:p>
      <w:pPr>
        <w:spacing w:after="0"/>
        <w:jc w:val="left"/>
        <w:ind w:left="1440" w:hanging="360"/>
      </w:pPr>
      <w:hyperlink w:anchor="NMCARS_5217.7405">
        <w:r>
          <w:rPr>
            <w:rStyle w:val="Hyperlink"/>
            <w:rFonts w:ascii="Times New Roman" w:hAnsi="Times New Roman"/>
            <w:b w:val="false"/>
            <w:i w:val="false"/>
            <w:color w:val="0000ff"/>
            <w:sz w:val="22"/>
            <w:u w:val="single"/>
          </w:rPr>
          <w:t>5217.7405 Plans and Reports.</w:t>
        </w:r>
      </w:hyperlink>
    </w:p>
    <!-- Created by docx4j 6.1.2 (Apache licensed) using REFERENCE JAXB in Oracle Java 15 on Linux -->
    <w:p>
      <w:pPr>
        <w:pStyle w:val="Heading2"/>
        <w:spacing w:after="180"/>
        <w:ind w:left="120"/>
        <w:jc w:val="center"/>
      </w:pPr>
      <w:bookmarkStart w:name="NMCARS_SUBPART_5217.1" w:id="1"/>
      <w:r>
        <w:rPr>
          <w:rFonts w:ascii="Times New Roman" w:hAnsi="Times New Roman"/>
          <w:color w:val="000000"/>
          <w:sz w:val="36"/>
        </w:rPr>
        <w:t>SUBPART 5217.1</w:t>
      </w:r>
      <w:r>
        <w:rPr>
          <w:rFonts w:ascii="Times New Roman" w:hAnsi="Times New Roman"/>
          <w:color w:val="000000"/>
          <w:sz w:val="36"/>
        </w:rPr>
        <w:t xml:space="preserve"> — MULTI–YEAR CONTRACTING</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105" w:id="2"/>
      <w:r>
        <w:rPr>
          <w:rFonts w:ascii="Times New Roman" w:hAnsi="Times New Roman"/>
          <w:color w:val="000000"/>
          <w:sz w:val="31"/>
        </w:rPr>
        <w:t>5217.105</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1051" w:id="3"/>
      <w:r>
        <w:rPr>
          <w:rFonts w:ascii="Times New Roman" w:hAnsi="Times New Roman"/>
          <w:i w:val="false"/>
          <w:color w:val="000000"/>
          <w:sz w:val="24"/>
        </w:rPr>
        <w:t>5217.105-1</w:t>
      </w:r>
      <w:r>
        <w:rPr>
          <w:rFonts w:ascii="Times New Roman" w:hAnsi="Times New Roman"/>
          <w:i w:val="false"/>
          <w:color w:val="000000"/>
          <w:sz w:val="24"/>
        </w:rPr>
        <w:t xml:space="preserve"> Uses.</w:t>
      </w:r>
      <w:bookmarkEnd w:id="3"/>
    </w:p>
    <w:p>
      <w:pPr>
        <w:pStyle w:val="Normal"/>
        <w:pBdr>
          <w:top w:space="5"/>
          <w:left w:space="5"/>
          <w:bottom w:space="5"/>
          <w:right w:space="5"/>
        </w:pBdr>
        <w:spacing w:after="0"/>
        <w:ind w:left="225"/>
        <w:jc w:val="left"/>
      </w:pPr>
      <w:r>
        <w:rPr>
          <w:rFonts w:ascii="Times New Roman" w:hAnsi="Times New Roman"/>
          <w:color w:val="000000"/>
        </w:rPr>
        <w:t>(b) HCAs have authority to award multi-year contracts, subject to restrictions contained in the FAR and DFARS. For multi-year procurements authorized by law, HCAs shall make the required determinations.</w:t>
      </w:r>
    </w:p>
    <!-- Created by docx4j 6.1.2 (Apache licensed) using REFERENCE JAXB in Oracle Java 15 on Linux -->
    <w:p>
      <w:pPr>
        <w:pStyle w:val="Heading3"/>
        <w:spacing w:after="199"/>
        <w:ind w:left="120"/>
        <w:jc w:val="left"/>
      </w:pPr>
      <w:bookmarkStart w:name="NMCARS_5217.170" w:id="4"/>
      <w:r>
        <w:rPr>
          <w:rFonts w:ascii="Times New Roman" w:hAnsi="Times New Roman"/>
          <w:color w:val="000000"/>
          <w:sz w:val="31"/>
        </w:rPr>
        <w:t>5217.170</w:t>
      </w:r>
      <w:r>
        <w:rPr>
          <w:rFonts w:ascii="Times New Roman" w:hAnsi="Times New Roman"/>
          <w:color w:val="000000"/>
          <w:sz w:val="31"/>
        </w:rPr>
        <w:t xml:space="preserve"> General.</w:t>
      </w:r>
      <w:bookmarkEnd w:id="4"/>
    </w:p>
    <w:p>
      <w:pPr>
        <w:pStyle w:val="Normal"/>
        <w:pBdr>
          <w:top w:space="5"/>
          <w:left w:space="5"/>
          <w:bottom w:space="5"/>
          <w:right w:space="5"/>
        </w:pBdr>
        <w:spacing w:after="0"/>
        <w:ind w:left="225"/>
        <w:jc w:val="left"/>
      </w:pPr>
      <w:r>
        <w:rPr>
          <w:rFonts w:ascii="Times New Roman" w:hAnsi="Times New Roman"/>
          <w:color w:val="000000"/>
        </w:rPr>
        <w:t xml:space="preserve">(b) HCAs shall submit to DASN(P) the required congressional notification for termination of any multi-year contract by email at </w:t>
      </w:r>
      <w:hyperlink r:id="R1f35eb9cb0914886">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217.170 – Multiyear Contract Termination - Congressional Notification” following the format prescribed in 5205.303. Email notifications are required to be submitted at least 45 days before termination.</w:t>
      </w:r>
    </w:p>
    <w:p>
      <w:pPr>
        <w:pStyle w:val="Normal"/>
        <w:pBdr>
          <w:top w:space="5"/>
          <w:left w:space="5"/>
          <w:bottom w:space="5"/>
          <w:right w:space="5"/>
        </w:pBdr>
        <w:spacing w:after="0"/>
        <w:ind w:left="225"/>
        <w:jc w:val="left"/>
      </w:pPr>
      <w:r>
        <w:rPr>
          <w:rFonts w:ascii="Times New Roman" w:hAnsi="Times New Roman"/>
          <w:color w:val="000000"/>
        </w:rPr>
        <w:t xml:space="preserve">(d)(4) At least 45 days before contract award, HCAs shall submit to DASN(P) by email at </w:t>
      </w:r>
      <w:hyperlink r:id="R54bb957154c2468b">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217.170 - Multiyear Contract – Congressional Notification” all required congressional notifications set forth in DFARS</w:t>
      </w:r>
    </w:p>
    <w:p>
      <w:pPr>
        <w:pBdr>
          <w:top w:space="5"/>
          <w:left w:space="5"/>
          <w:bottom w:space="5"/>
          <w:right w:space="5"/>
        </w:pBdr>
        <w:spacing w:after="0"/>
        <w:ind w:left="225"/>
        <w:jc w:val="left"/>
      </w:pPr>
      <w:r>
        <w:rPr>
          <w:rFonts w:ascii="Times New Roman" w:hAnsi="Times New Roman"/>
          <w:b w:val="false"/>
          <w:i w:val="false"/>
          <w:color w:val="000000"/>
          <w:sz w:val="22"/>
        </w:rPr>
        <w:t>217.170(d)(1) following the format prescribed in 5205.303.</w:t>
      </w:r>
    </w:p>
    <!-- Created by docx4j 6.1.2 (Apache licensed) using REFERENCE JAXB in Oracle Java 15 on Linux -->
    <w:p>
      <w:pPr>
        <w:pStyle w:val="Heading3"/>
        <w:spacing w:after="199"/>
        <w:ind w:left="120"/>
        <w:jc w:val="left"/>
      </w:pPr>
      <w:bookmarkStart w:name="NMCARS_5217.171" w:id="5"/>
      <w:r>
        <w:rPr>
          <w:rFonts w:ascii="Times New Roman" w:hAnsi="Times New Roman"/>
          <w:color w:val="000000"/>
          <w:sz w:val="31"/>
        </w:rPr>
        <w:t>5217.171</w:t>
      </w:r>
      <w:r>
        <w:rPr>
          <w:rFonts w:ascii="Times New Roman" w:hAnsi="Times New Roman"/>
          <w:color w:val="000000"/>
          <w:sz w:val="31"/>
        </w:rPr>
        <w:t xml:space="preserve"> Multiyear contracts for services.</w:t>
      </w:r>
      <w:bookmarkEnd w:id="5"/>
    </w:p>
    <w:p>
      <w:pPr>
        <w:pStyle w:val="Normal"/>
        <w:pBdr>
          <w:top w:space="5"/>
          <w:left w:space="5"/>
          <w:bottom w:space="5"/>
          <w:right w:space="5"/>
        </w:pBdr>
        <w:spacing w:after="0"/>
        <w:ind w:left="225"/>
        <w:jc w:val="left"/>
      </w:pPr>
      <w:r>
        <w:rPr>
          <w:rFonts w:ascii="Times New Roman" w:hAnsi="Times New Roman"/>
          <w:color w:val="000000"/>
        </w:rPr>
        <w:t>(c) HCAs are delegated the authority, without power of redelegation, to make the written determination required by DFARS 217.171(c).</w:t>
      </w:r>
    </w:p>
    <!-- Created by docx4j 6.1.2 (Apache licensed) using REFERENCE JAXB in Oracle Java 15 on Linux -->
    <w:p>
      <w:pPr>
        <w:pStyle w:val="Heading3"/>
        <w:spacing w:after="199"/>
        <w:ind w:left="120"/>
        <w:jc w:val="left"/>
      </w:pPr>
      <w:bookmarkStart w:name="NMCARS_5217.172" w:id="6"/>
      <w:r>
        <w:rPr>
          <w:rFonts w:ascii="Times New Roman" w:hAnsi="Times New Roman"/>
          <w:color w:val="000000"/>
          <w:sz w:val="31"/>
        </w:rPr>
        <w:t>5217.172</w:t>
      </w:r>
      <w:r>
        <w:rPr>
          <w:rFonts w:ascii="Times New Roman" w:hAnsi="Times New Roman"/>
          <w:color w:val="000000"/>
          <w:sz w:val="31"/>
        </w:rPr>
        <w:t xml:space="preserve"> Multiyear contracts for supplies.</w:t>
      </w:r>
      <w:bookmarkEnd w:id="6"/>
    </w:p>
    <w:p>
      <w:pPr>
        <w:pBdr>
          <w:top w:space="5"/>
          <w:left w:space="5"/>
          <w:bottom w:space="5"/>
          <w:right w:space="5"/>
        </w:pBdr>
        <w:spacing w:after="0"/>
        <w:ind w:left="225"/>
        <w:jc w:val="left"/>
      </w:pPr>
      <w:r>
        <w:rPr>
          <w:rFonts w:ascii="Times New Roman" w:hAnsi="Times New Roman"/>
          <w:b w:val="false"/>
          <w:i w:val="false"/>
          <w:color w:val="000000"/>
          <w:sz w:val="22"/>
        </w:rPr>
        <w:t>(b) HCAs are delegated the authority, without power of redelegation, to make the determinations required by FAR 17.105-1 and DFARS 217.172(b).</w:t>
      </w:r>
    </w:p>
    <w:p>
      <w:pPr>
        <w:pBdr>
          <w:top w:space="5"/>
          <w:left w:space="5"/>
          <w:bottom w:space="5"/>
          <w:right w:space="5"/>
        </w:pBdr>
        <w:spacing w:after="0"/>
        <w:ind w:left="225"/>
        <w:jc w:val="left"/>
      </w:pPr>
      <w:r>
        <w:rPr>
          <w:rFonts w:ascii="Times New Roman" w:hAnsi="Times New Roman"/>
          <w:b w:val="false"/>
          <w:i w:val="false"/>
          <w:color w:val="000000"/>
          <w:sz w:val="22"/>
        </w:rPr>
        <w:t>(h) HCAs shall ensure the conditions required in DFARS 217.172(h) are satisfied prior to entering into a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(2)(viii) At least 45 days prior to contract award, notifications will be submitted to DASN(P) by email at </w:t>
      </w:r>
      <w:hyperlink r:id="R5292a89a30b044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217.170 -Multiyear Contract for Supplies - Congressional Notification.” Contracting officers shall verify that the required Congressional notification has been made and the time limit for award has been satisfied before executing contract award.</w:t>
      </w:r>
    </w:p>
    <!-- Created by docx4j 6.1.2 (Apache licensed) using REFERENCE JAXB in Oracle Java 15 on Linux -->
    <w:p>
      <w:pPr>
        <w:pStyle w:val="Heading4"/>
        <w:spacing w:after="269"/>
        <w:ind w:left="120"/>
        <w:jc w:val="left"/>
      </w:pPr>
      <w:bookmarkStart w:name="NMCARS_5217.17290" w:id="7"/>
      <w:r>
        <w:rPr>
          <w:rFonts w:ascii="Times New Roman" w:hAnsi="Times New Roman"/>
          <w:i w:val="false"/>
          <w:color w:val="000000"/>
          <w:sz w:val="24"/>
        </w:rPr>
        <w:t>5217.172-90</w:t>
      </w:r>
      <w:r>
        <w:rPr>
          <w:rFonts w:ascii="Times New Roman" w:hAnsi="Times New Roman"/>
          <w:i w:val="false"/>
          <w:color w:val="000000"/>
          <w:sz w:val="24"/>
        </w:rPr>
        <w:t xml:space="preserve"> Multiyear contracts for supplies.</w:t>
      </w:r>
      <w:bookmarkEnd w:id="7"/>
    </w:p>
    <w:p>
      <w:pPr>
        <w:pStyle w:val="Normal"/>
        <w:pBdr>
          <w:top w:space="5"/>
          <w:left w:space="5"/>
          <w:bottom w:space="5"/>
          <w:right w:space="5"/>
        </w:pBdr>
        <w:spacing w:after="0"/>
        <w:ind w:left="225"/>
        <w:jc w:val="left"/>
      </w:pPr>
      <w:r>
        <w:rPr>
          <w:rFonts w:ascii="Times New Roman" w:hAnsi="Times New Roman"/>
          <w:color w:val="000000"/>
        </w:rPr>
        <w:t xml:space="preserve">(f)(2) HCAs shall submit a copy of the determinations and findings to </w:t>
      </w:r>
      <w:hyperlink r:id="R71102079a7fb4354">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Multiyear Contract for Supplies &gt;$678.5M Review and Approval” prior to entering into a contract.</w:t>
      </w:r>
    </w:p>
    <!-- Created by docx4j 6.1.2 (Apache licensed) using REFERENCE JAXB in Oracle Java 15 on Linux -->
    <w:p>
      <w:pPr>
        <w:pStyle w:val="Heading3"/>
        <w:spacing w:after="199"/>
        <w:ind w:left="120"/>
        <w:jc w:val="left"/>
      </w:pPr>
      <w:bookmarkStart w:name="NMCARS_5217.174" w:id="8"/>
      <w:r>
        <w:rPr>
          <w:rFonts w:ascii="Times New Roman" w:hAnsi="Times New Roman"/>
          <w:color w:val="000000"/>
          <w:sz w:val="31"/>
        </w:rPr>
        <w:t>5217.174</w:t>
      </w:r>
      <w:r>
        <w:rPr>
          <w:rFonts w:ascii="Times New Roman" w:hAnsi="Times New Roman"/>
          <w:color w:val="000000"/>
          <w:sz w:val="31"/>
        </w:rPr>
        <w:t xml:space="preserve"> Multiyear contracts for electricity from renewable energy sources.</w:t>
      </w:r>
      <w:bookmarkEnd w:id="8"/>
    </w:p>
    <w:p>
      <w:pPr>
        <w:pStyle w:val="Normal"/>
        <w:pBdr>
          <w:top w:space="5"/>
          <w:left w:space="5"/>
          <w:bottom w:space="5"/>
          <w:right w:space="5"/>
        </w:pBdr>
        <w:spacing w:after="0"/>
        <w:ind w:left="225"/>
        <w:jc w:val="left"/>
      </w:pPr>
      <w:r>
        <w:rPr>
          <w:rFonts w:ascii="Times New Roman" w:hAnsi="Times New Roman"/>
          <w:color w:val="000000"/>
        </w:rPr>
        <w:t>(a) Only COMNAVFACENGCOM has the authority to award contracts pursuant to this section.</w:t>
      </w:r>
    </w:p>
    <!-- Created by docx4j 6.1.2 (Apache licensed) using REFERENCE JAXB in Oracle Java 15 on Linux -->
    <w:p>
      <w:pPr>
        <w:pStyle w:val="Heading2"/>
        <w:spacing w:after="180"/>
        <w:ind w:left="120"/>
        <w:jc w:val="center"/>
      </w:pPr>
      <w:bookmarkStart w:name="NMCARS_SUBPART_5217.2" w:id="9"/>
      <w:r>
        <w:rPr>
          <w:rFonts w:ascii="Times New Roman" w:hAnsi="Times New Roman"/>
          <w:color w:val="000000"/>
          <w:sz w:val="36"/>
        </w:rPr>
        <w:t>SUBPART 5217.2</w:t>
      </w:r>
      <w:r>
        <w:rPr>
          <w:rFonts w:ascii="Times New Roman" w:hAnsi="Times New Roman"/>
          <w:color w:val="000000"/>
          <w:sz w:val="36"/>
        </w:rPr>
        <w:t xml:space="preserve"> — OPTIONS</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200" w:id="10"/>
      <w:r>
        <w:rPr>
          <w:rFonts w:ascii="Times New Roman" w:hAnsi="Times New Roman"/>
          <w:color w:val="000000"/>
          <w:sz w:val="31"/>
        </w:rPr>
        <w:t>5217.200</w:t>
      </w:r>
      <w:r>
        <w:rPr>
          <w:rFonts w:ascii="Times New Roman" w:hAnsi="Times New Roman"/>
          <w:color w:val="000000"/>
          <w:sz w:val="31"/>
        </w:rPr>
        <w:t xml:space="preserve"> Scope of Subpart.</w:t>
      </w:r>
      <w:bookmarkEnd w:id="10"/>
    </w:p>
    <w:p>
      <w:pPr>
        <w:pBdr>
          <w:top w:space="5"/>
          <w:left w:space="5"/>
          <w:bottom w:space="5"/>
          <w:right w:space="5"/>
        </w:pBdr>
        <w:spacing w:after="0"/>
        <w:ind w:left="225"/>
        <w:jc w:val="left"/>
      </w:pPr>
      <w:r>
        <w:rPr>
          <w:rFonts w:ascii="Times New Roman" w:hAnsi="Times New Roman"/>
          <w:b w:val="false"/>
          <w:i w:val="false"/>
          <w:color w:val="000000"/>
          <w:sz w:val="22"/>
        </w:rPr>
        <w:t>Notwithstanding FAR 17.200, to the extent options are included, FAR 17.2 and DFARS 217.2 apply.</w:t>
      </w:r>
    </w:p>
    <!-- Created by docx4j 6.1.2 (Apache licensed) using REFERENCE JAXB in Oracle Java 15 on Linux -->
    <w:p>
      <w:pPr>
        <w:pStyle w:val="Heading3"/>
        <w:spacing w:after="199"/>
        <w:ind w:left="120"/>
        <w:jc w:val="left"/>
      </w:pPr>
      <w:bookmarkStart w:name="NMCARS_5217.204" w:id="11"/>
      <w:r>
        <w:rPr>
          <w:rFonts w:ascii="Times New Roman" w:hAnsi="Times New Roman"/>
          <w:color w:val="000000"/>
          <w:sz w:val="31"/>
        </w:rPr>
        <w:t>5217.204</w:t>
      </w:r>
      <w:r>
        <w:rPr>
          <w:rFonts w:ascii="Times New Roman" w:hAnsi="Times New Roman"/>
          <w:color w:val="000000"/>
          <w:sz w:val="31"/>
        </w:rPr>
        <w:t xml:space="preserve"> Contracts.</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(e)(i) Approval for use of contract terms in excess of the limitations specified in FAR 17.204(e) shall be supported by a written determination and obtained prior to solicitation. Approval shall be at a level not lower than the CCO or to a Flag/General Officer/SES, who is a member of the Contracting Community, without power of redelegation. This requirement is waived if due to the use of FAR Clause 52.217-8, “Option to Extend Services” and pricing was included in the contract. To establish an ordering period in excess of 10 years, in accordance with DFARS 217.204(e)(i)(C), a determination shall be executed by ASN(RDA). Submit such requests with a copy of the approved AS, STRAP, or MOPAS-S via DASN(P) by email at </w:t>
      </w:r>
      <w:hyperlink r:id="R20198ccf2d8042a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with the subject “[Activity Name] DFARS 217.204 – Contract Term &gt; 10 Years D&amp;F Review and Approval.”</w:t>
      </w:r>
    </w:p>
    <w:p>
      <w:pPr>
        <w:pBdr>
          <w:top w:space="5"/>
          <w:left w:space="5"/>
          <w:bottom w:space="5"/>
          <w:right w:space="5"/>
        </w:pBdr>
        <w:spacing w:after="0"/>
        <w:ind w:left="585"/>
        <w:jc w:val="left"/>
      </w:pPr>
      <w:r>
        <w:rPr>
          <w:rFonts w:ascii="Times New Roman" w:hAnsi="Times New Roman"/>
          <w:b w:val="false"/>
          <w:i w:val="false"/>
          <w:color w:val="000000"/>
          <w:sz w:val="22"/>
        </w:rPr>
        <w:t>(iii) The senior procurement executive has provided this approval, via ASN(RDA) memorandum dated January 11, 2016 entitled, “Approval to Extend the Performance Period of SeaPort and SeaPort-e Task and Delivery Orders Issued Under SeaPort and SeaPort-e Indefinite Delivery, Indefinite Quantity Contracts,” for task or delivery orders issued on or before December 31, 2019 under the Naval Sea Systems Command’s SeaPort IDIQ contracts.</w:t>
      </w:r>
    </w:p>
    <!-- Created by docx4j 6.1.2 (Apache licensed) using REFERENCE JAXB in Oracle Java 15 on Linux -->
    <w:p>
      <w:pPr>
        <w:pStyle w:val="Heading3"/>
        <w:spacing w:after="199"/>
        <w:ind w:left="120"/>
        <w:jc w:val="left"/>
      </w:pPr>
      <w:bookmarkStart w:name="NMCARS_5217.207" w:id="12"/>
      <w:r>
        <w:rPr>
          <w:rFonts w:ascii="Times New Roman" w:hAnsi="Times New Roman"/>
          <w:color w:val="000000"/>
          <w:sz w:val="31"/>
        </w:rPr>
        <w:t>5217.207</w:t>
      </w:r>
      <w:r>
        <w:rPr>
          <w:rFonts w:ascii="Times New Roman" w:hAnsi="Times New Roman"/>
          <w:color w:val="000000"/>
          <w:sz w:val="31"/>
        </w:rPr>
        <w:t xml:space="preserve"> Exercise of Options.</w:t>
      </w:r>
      <w:bookmarkEnd w:id="12"/>
    </w:p>
    <w:p>
      <w:pPr>
        <w:pStyle w:val="Normal"/>
        <w:pBdr>
          <w:top w:space="5"/>
          <w:left w:space="5"/>
          <w:bottom w:space="5"/>
          <w:right w:space="5"/>
        </w:pBdr>
        <w:spacing w:after="0"/>
        <w:ind w:left="225"/>
        <w:jc w:val="left"/>
      </w:pPr>
      <w:r>
        <w:rPr>
          <w:rFonts w:ascii="Times New Roman" w:hAnsi="Times New Roman"/>
          <w:color w:val="000000"/>
        </w:rPr>
        <w:t>(c)(3) SeaPort shall be included in the consideration.</w:t>
      </w:r>
    </w:p>
    <!-- Created by docx4j 6.1.2 (Apache licensed) using REFERENCE JAXB in Oracle Java 15 on Linux -->
    <w:p>
      <w:pPr>
        <w:pStyle w:val="Heading2"/>
        <w:spacing w:after="180"/>
        <w:ind w:left="120"/>
        <w:jc w:val="center"/>
      </w:pPr>
      <w:bookmarkStart w:name="NMCARS_SUBPART_5217.5" w:id="13"/>
      <w:r>
        <w:rPr>
          <w:rFonts w:ascii="Times New Roman" w:hAnsi="Times New Roman"/>
          <w:color w:val="000000"/>
          <w:sz w:val="36"/>
        </w:rPr>
        <w:t>SUBPART 5217.5</w:t>
      </w:r>
      <w:r>
        <w:rPr>
          <w:rFonts w:ascii="Times New Roman" w:hAnsi="Times New Roman"/>
          <w:color w:val="000000"/>
          <w:sz w:val="36"/>
        </w:rPr>
        <w:t xml:space="preserve"> — INTERAGENCY ACQUISITIONS</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502" w:id="14"/>
      <w:r>
        <w:rPr>
          <w:rFonts w:ascii="Times New Roman" w:hAnsi="Times New Roman"/>
          <w:color w:val="000000"/>
          <w:sz w:val="31"/>
        </w:rPr>
        <w:t>5217.502</w:t>
      </w:r>
      <w:r>
        <w:rPr>
          <w:rFonts w:ascii="Times New Roman" w:hAnsi="Times New Roman"/>
          <w:color w:val="000000"/>
          <w:sz w:val="31"/>
        </w:rPr>
        <w:t xml:space="preserve"> Procedures.</w:t>
      </w:r>
      <w:bookmarkEnd w:id="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5021" w:id="15"/>
      <w:r>
        <w:rPr>
          <w:rFonts w:ascii="Times New Roman" w:hAnsi="Times New Roman"/>
          <w:i w:val="false"/>
          <w:color w:val="000000"/>
          <w:sz w:val="24"/>
        </w:rPr>
        <w:t>5217.502-1</w:t>
      </w:r>
      <w:r>
        <w:rPr>
          <w:rFonts w:ascii="Times New Roman" w:hAnsi="Times New Roman"/>
          <w:i w:val="false"/>
          <w:color w:val="000000"/>
          <w:sz w:val="24"/>
        </w:rPr>
        <w:t xml:space="preserve"> General.</w:t>
      </w:r>
      <w:bookmarkEnd w:id="15"/>
    </w:p>
    <w:p>
      <w:pPr>
        <w:pStyle w:val="Normal"/>
        <w:pBdr>
          <w:top w:space="5"/>
          <w:left w:space="5"/>
          <w:bottom w:space="5"/>
          <w:right w:space="5"/>
        </w:pBdr>
        <w:spacing w:after="0"/>
        <w:ind w:left="225"/>
        <w:jc w:val="left"/>
      </w:pPr>
      <w:r>
        <w:rPr>
          <w:rFonts w:ascii="Times New Roman" w:hAnsi="Times New Roman"/>
          <w:color w:val="000000"/>
        </w:rPr>
        <w:t xml:space="preserve">(b) Prior to release of the solicitation and following coordination with the Director OSBP, HCAs shall submit Part 1 of the BCA to DASN(P) by email at </w:t>
      </w:r>
      <w:hyperlink r:id="Re2136142f2534b23">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FAR 17.502-1 - BCA for [Insert the name of the corresponding situation above]”. If the acquisition involves Information Technology, coordination is also required with DON Chief Information Officer (DON CIO) as well as OSBP prior to submission to DASN(P).</w:t>
      </w:r>
    </w:p>
    <!-- Created by docx4j 6.1.2 (Apache licensed) using REFERENCE JAXB in Oracle Java 15 on Linux -->
    <w:p>
      <w:pPr>
        <w:pStyle w:val="Heading4"/>
        <w:spacing w:after="269"/>
        <w:ind w:left="120"/>
        <w:jc w:val="left"/>
      </w:pPr>
      <w:bookmarkStart w:name="NMCARS_5217.5022" w:id="16"/>
      <w:r>
        <w:rPr>
          <w:rFonts w:ascii="Times New Roman" w:hAnsi="Times New Roman"/>
          <w:i w:val="false"/>
          <w:color w:val="000000"/>
          <w:sz w:val="24"/>
        </w:rPr>
        <w:t>5217.502-2</w:t>
      </w:r>
      <w:r>
        <w:rPr>
          <w:rFonts w:ascii="Times New Roman" w:hAnsi="Times New Roman"/>
          <w:i w:val="false"/>
          <w:color w:val="000000"/>
          <w:sz w:val="24"/>
        </w:rPr>
        <w:t xml:space="preserve"> The Economy Act.</w:t>
      </w:r>
      <w:bookmarkEnd w:id="16"/>
    </w:p>
    <w:p>
      <w:pPr>
        <w:pBdr>
          <w:top w:space="5"/>
          <w:left w:space="5"/>
          <w:bottom w:space="5"/>
          <w:right w:space="5"/>
        </w:pBdr>
        <w:spacing w:after="0"/>
        <w:ind w:left="225"/>
        <w:jc w:val="left"/>
      </w:pPr>
      <w:r>
        <w:rPr>
          <w:rFonts w:ascii="Times New Roman" w:hAnsi="Times New Roman"/>
          <w:b w:val="false"/>
          <w:i w:val="false"/>
          <w:color w:val="000000"/>
          <w:sz w:val="22"/>
        </w:rPr>
        <w:t>(a)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(b) The following are examples of acquisitions that do not require Economy Act D&amp;Fs:</w:t>
      </w:r>
    </w:p>
    <w:p>
      <w:pPr>
        <w:pBdr>
          <w:top w:space="5"/>
          <w:left w:space="5"/>
          <w:bottom w:space="5"/>
          <w:right w:space="5"/>
        </w:pBdr>
        <w:spacing w:after="0"/>
        <w:ind w:left="585"/>
        <w:jc w:val="left"/>
      </w:pPr>
      <w:r>
        <w:rPr>
          <w:rFonts w:ascii="Times New Roman" w:hAnsi="Times New Roman"/>
          <w:b w:val="false"/>
          <w:i w:val="false"/>
          <w:color w:val="000000"/>
          <w:sz w:val="22"/>
        </w:rPr>
        <w:t>(1) Interagency acquisitions from the General Services Administration conducted under the authority of 40 U.S.C. Section 321, Acquisition Services Fund;</w:t>
      </w:r>
    </w:p>
    <w:p>
      <w:pPr>
        <w:pBdr>
          <w:top w:space="5"/>
          <w:left w:space="5"/>
          <w:bottom w:space="5"/>
          <w:right w:space="5"/>
        </w:pBdr>
        <w:spacing w:after="0"/>
        <w:ind w:left="585"/>
        <w:jc w:val="left"/>
      </w:pPr>
      <w:r>
        <w:rPr>
          <w:rFonts w:ascii="Times New Roman" w:hAnsi="Times New Roman"/>
          <w:b w:val="false"/>
          <w:i w:val="false"/>
          <w:color w:val="000000"/>
          <w:sz w:val="22"/>
        </w:rPr>
        <w:t>(2) Acquisitions conducted pursuant to DFARS Subpart 208.70, “Coordinated Acquisition”;</w:t>
      </w:r>
    </w:p>
    <w:p>
      <w:pPr>
        <w:pBdr>
          <w:top w:space="5"/>
          <w:left w:space="5"/>
          <w:bottom w:space="5"/>
          <w:right w:space="5"/>
        </w:pBdr>
        <w:spacing w:after="0"/>
        <w:ind w:left="585"/>
        <w:jc w:val="left"/>
      </w:pPr>
      <w:r>
        <w:rPr>
          <w:rFonts w:ascii="Times New Roman" w:hAnsi="Times New Roman"/>
          <w:b w:val="false"/>
          <w:i w:val="false"/>
          <w:color w:val="000000"/>
          <w:sz w:val="22"/>
        </w:rPr>
        <w:t>(3) Acquisitions conducted under the authority of the Project Order Act, 41 U.S.C. Section 23;</w:t>
      </w:r>
    </w:p>
    <w:p>
      <w:pPr>
        <w:pBdr>
          <w:top w:space="5"/>
          <w:left w:space="5"/>
          <w:bottom w:space="5"/>
          <w:right w:space="5"/>
        </w:pBdr>
        <w:spacing w:after="0"/>
        <w:ind w:left="585"/>
        <w:jc w:val="left"/>
      </w:pPr>
      <w:r>
        <w:rPr>
          <w:rFonts w:ascii="Times New Roman" w:hAnsi="Times New Roman"/>
          <w:b w:val="false"/>
          <w:i w:val="false"/>
          <w:color w:val="000000"/>
          <w:sz w:val="22"/>
        </w:rPr>
        <w:t>(4) Support agreements with another DOD component that comply with DODINST 4000.19, “Interservice and Intragovernmental Support”; and</w:t>
      </w:r>
    </w:p>
    <w:p>
      <w:pPr>
        <w:pBdr>
          <w:top w:space="5"/>
          <w:left w:space="5"/>
          <w:bottom w:space="5"/>
          <w:right w:space="5"/>
        </w:pBdr>
        <w:spacing w:after="0"/>
        <w:ind w:left="585"/>
        <w:jc w:val="left"/>
      </w:pPr>
      <w:r>
        <w:rPr>
          <w:rFonts w:ascii="Times New Roman" w:hAnsi="Times New Roman"/>
          <w:b w:val="false"/>
          <w:i w:val="false"/>
          <w:color w:val="000000"/>
          <w:sz w:val="22"/>
        </w:rPr>
        <w:t>(5) Interagency acquisitions from the Library of Congress conducted under the authority of Section 103 of P.L. 106-481 (2 U.S.C. 182c), FEDLINK Revolving Fund.</w:t>
      </w:r>
    </w:p>
    <w:p>
      <w:pPr>
        <w:pBdr>
          <w:top w:space="5"/>
          <w:left w:space="5"/>
          <w:bottom w:space="5"/>
          <w:right w:space="5"/>
        </w:pBdr>
        <w:spacing w:after="0"/>
        <w:ind w:left="225"/>
        <w:jc w:val="left"/>
      </w:pPr>
      <w:r>
        <w:rPr>
          <w:rFonts w:ascii="Times New Roman" w:hAnsi="Times New Roman"/>
          <w:b w:val="false"/>
          <w:i w:val="false"/>
          <w:color w:val="000000"/>
          <w:sz w:val="22"/>
        </w:rPr>
        <w:t>(c)(2) Except for the special circumstances and limitations specified below, the agency head’s designees for approving D&amp;Fs for interagency acquisitions are:</w:t>
      </w:r>
    </w:p>
    <w:p>
      <w:pPr>
        <w:pBdr>
          <w:top w:space="5"/>
          <w:left w:space="5"/>
          <w:bottom w:space="5"/>
          <w:right w:space="5"/>
        </w:pBdr>
        <w:spacing w:after="0"/>
        <w:ind w:left="945"/>
        <w:jc w:val="left"/>
      </w:pPr>
      <w:r>
        <w:rPr>
          <w:rFonts w:ascii="Times New Roman" w:hAnsi="Times New Roman"/>
          <w:b w:val="false"/>
          <w:i w:val="false"/>
          <w:color w:val="000000"/>
          <w:sz w:val="22"/>
        </w:rPr>
        <w:t>DASN(P)</w:t>
      </w:r>
    </w:p>
    <w:p>
      <w:pPr>
        <w:pBdr>
          <w:top w:space="5"/>
          <w:left w:space="5"/>
          <w:bottom w:space="5"/>
          <w:right w:space="5"/>
        </w:pBdr>
        <w:spacing w:after="0"/>
        <w:ind w:left="945"/>
        <w:jc w:val="left"/>
      </w:pPr>
      <w:r>
        <w:rPr>
          <w:rFonts w:ascii="Times New Roman" w:hAnsi="Times New Roman"/>
          <w:b w:val="false"/>
          <w:i w:val="false"/>
          <w:color w:val="000000"/>
          <w:sz w:val="22"/>
        </w:rPr>
        <w:t>Chief of Naval Research</w:t>
      </w:r>
    </w:p>
    <w:p>
      <w:pPr>
        <w:pBdr>
          <w:top w:space="5"/>
          <w:left w:space="5"/>
          <w:bottom w:space="5"/>
          <w:right w:space="5"/>
        </w:pBdr>
        <w:spacing w:after="0"/>
        <w:ind w:left="945"/>
        <w:jc w:val="left"/>
      </w:pPr>
      <w:r>
        <w:rPr>
          <w:rFonts w:ascii="Times New Roman" w:hAnsi="Times New Roman"/>
          <w:b w:val="false"/>
          <w:i w:val="false"/>
          <w:color w:val="000000"/>
          <w:sz w:val="22"/>
        </w:rPr>
        <w:t>Commander, Marine Corps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Military Sealift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Air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Facilities Engineering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Sea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Supply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Information Warfare Systems Command</w:t>
      </w:r>
    </w:p>
    <w:p>
      <w:pPr>
        <w:pBdr>
          <w:top w:space="5"/>
          <w:left w:space="5"/>
          <w:bottom w:space="5"/>
          <w:right w:space="5"/>
        </w:pBdr>
        <w:spacing w:after="0"/>
        <w:ind w:left="945"/>
        <w:jc w:val="left"/>
      </w:pPr>
      <w:r>
        <w:rPr>
          <w:rFonts w:ascii="Times New Roman" w:hAnsi="Times New Roman"/>
          <w:b w:val="false"/>
          <w:i w:val="false"/>
          <w:color w:val="000000"/>
          <w:sz w:val="22"/>
        </w:rPr>
        <w:t>Director, Strategic Systems Programs</w:t>
      </w:r>
    </w:p>
    <w:p>
      <w:pPr>
        <w:pBdr>
          <w:top w:space="5"/>
          <w:left w:space="5"/>
          <w:bottom w:space="5"/>
          <w:right w:space="5"/>
        </w:pBdr>
        <w:spacing w:after="0"/>
        <w:ind w:left="945"/>
        <w:jc w:val="left"/>
      </w:pPr>
      <w:r>
        <w:rPr>
          <w:rFonts w:ascii="Times New Roman" w:hAnsi="Times New Roman"/>
          <w:b w:val="false"/>
          <w:i w:val="false"/>
          <w:color w:val="000000"/>
          <w:sz w:val="22"/>
        </w:rPr>
        <w:t>Deputy Commandant for Installations and Logistics, Headquarters, Marine Corps</w:t>
      </w:r>
    </w:p>
    <w:p>
      <w:pPr>
        <w:pBdr>
          <w:top w:space="5"/>
          <w:left w:space="5"/>
          <w:bottom w:space="5"/>
          <w:right w:space="5"/>
        </w:pBdr>
        <w:spacing w:after="0"/>
        <w:ind w:left="945"/>
        <w:jc w:val="left"/>
      </w:pPr>
      <w:r>
        <w:rPr>
          <w:rFonts w:ascii="Times New Roman" w:hAnsi="Times New Roman"/>
          <w:b w:val="false"/>
          <w:i w:val="false"/>
          <w:color w:val="000000"/>
          <w:sz w:val="22"/>
        </w:rPr>
        <w:t>(i) For assisted acquisitions to non-DOD activities that require contracting action on the part of the servicing agency, comply with approval requirements in 5217.770.</w:t>
      </w:r>
    </w:p>
    <w:p>
      <w:pPr>
        <w:pBdr>
          <w:top w:space="5"/>
          <w:left w:space="5"/>
          <w:bottom w:space="5"/>
          <w:right w:space="5"/>
        </w:pBdr>
        <w:spacing w:after="0"/>
        <w:ind w:left="945"/>
        <w:jc w:val="left"/>
      </w:pPr>
      <w:r>
        <w:rPr>
          <w:rFonts w:ascii="Times New Roman" w:hAnsi="Times New Roman"/>
          <w:b w:val="false"/>
          <w:i w:val="false"/>
          <w:color w:val="000000"/>
          <w:sz w:val="22"/>
        </w:rPr>
        <w:t>(ii) Special Circumstances and Limitations</w:t>
      </w:r>
    </w:p>
    <w:p>
      <w:pPr>
        <w:pBdr>
          <w:top w:space="5"/>
          <w:left w:space="5"/>
          <w:bottom w:space="5"/>
          <w:right w:space="5"/>
        </w:pBdr>
        <w:spacing w:after="0"/>
        <w:ind w:left="1305"/>
        <w:jc w:val="left"/>
      </w:pPr>
      <w:r>
        <w:rPr>
          <w:rFonts w:ascii="Times New Roman" w:hAnsi="Times New Roman"/>
          <w:b w:val="false"/>
          <w:i w:val="false"/>
          <w:color w:val="000000"/>
          <w:sz w:val="22"/>
        </w:rPr>
        <w:t>(A) Special Circumstances.</w:t>
      </w:r>
    </w:p>
    <w:p>
      <w:pPr>
        <w:pBdr>
          <w:top w:space="5"/>
          <w:left w:space="5"/>
          <w:bottom w:space="5"/>
          <w:right w:space="5"/>
        </w:pBdr>
        <w:spacing w:after="0"/>
        <w:ind w:left="1665"/>
        <w:jc w:val="left"/>
      </w:pPr>
      <w:r>
        <w:rPr>
          <w:rFonts w:ascii="Times New Roman" w:hAnsi="Times New Roman"/>
          <w:b w:val="false"/>
          <w:i w:val="false"/>
          <w:color w:val="000000"/>
          <w:sz w:val="22"/>
        </w:rPr>
        <w:t xml:space="preserve">(1) Approval authority for Economy Act orders that require a contracting action on the part of the Department of Transportation’s Volpe Laboratories is not delegated. The Agency head’s designee to approve D&amp;Fs for these Economy Act orders is DASN(P). Submit D&amp;Fs for approval with a copy of the approved AS, STRAP, or MOPAS-S to DASN(P) by email at </w:t>
      </w:r>
      <w:hyperlink r:id="R6588c93b2e0544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5217.502(c)(2)(ii)(A)(1) – DOT Volpe Lab Determination.”</w:t>
      </w:r>
    </w:p>
    <w:p>
      <w:pPr>
        <w:pBdr>
          <w:top w:space="5"/>
          <w:left w:space="5"/>
          <w:bottom w:space="5"/>
          <w:right w:space="5"/>
        </w:pBdr>
        <w:spacing w:after="0"/>
        <w:ind w:left="1665"/>
        <w:jc w:val="left"/>
      </w:pPr>
      <w:r>
        <w:rPr>
          <w:rFonts w:ascii="Times New Roman" w:hAnsi="Times New Roman"/>
          <w:b w:val="false"/>
          <w:i w:val="false"/>
          <w:color w:val="000000"/>
          <w:sz w:val="22"/>
        </w:rPr>
        <w:t>(2) HCAs will enter into and administer all DOD Work For Others (WFO) projects performed at the Department of Energy (DOE) facilities in accordance with the DOE/DOD MOA except as the DPC guidance allows for amendment.</w:t>
      </w:r>
    </w:p>
    <w:p>
      <w:pPr>
        <w:pBdr>
          <w:top w:space="5"/>
          <w:left w:space="5"/>
          <w:bottom w:space="5"/>
          <w:right w:space="5"/>
        </w:pBdr>
        <w:spacing w:after="0"/>
        <w:ind w:left="1665"/>
        <w:jc w:val="left"/>
      </w:pPr>
      <w:r>
        <w:rPr>
          <w:rFonts w:ascii="Times New Roman" w:hAnsi="Times New Roman"/>
          <w:b w:val="false"/>
          <w:i w:val="false"/>
          <w:color w:val="000000"/>
          <w:sz w:val="22"/>
        </w:rPr>
        <w:t>(3) HCAs shall conduct an annual compliance assessment of DOE WFO orders.</w:t>
      </w:r>
    </w:p>
    <w:p>
      <w:pPr>
        <w:pBdr>
          <w:top w:space="5"/>
          <w:left w:space="5"/>
          <w:bottom w:space="5"/>
          <w:right w:space="5"/>
        </w:pBdr>
        <w:spacing w:after="0"/>
        <w:ind w:left="1665"/>
        <w:jc w:val="left"/>
      </w:pPr>
      <w:r>
        <w:rPr>
          <w:rFonts w:ascii="Times New Roman" w:hAnsi="Times New Roman"/>
          <w:b w:val="false"/>
          <w:i w:val="false"/>
          <w:color w:val="000000"/>
          <w:sz w:val="22"/>
        </w:rPr>
        <w:t xml:space="preserve">Submit the assessment results by December 15 to DASN(P) by email at </w:t>
      </w:r>
      <w:hyperlink r:id="R01942fd0dd8944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17.502-2 – Annual DOE WFO Order Compliance Assessment”.</w:t>
      </w:r>
    </w:p>
    <w:p>
      <w:pPr>
        <w:pBdr>
          <w:top w:space="5"/>
          <w:left w:space="5"/>
          <w:bottom w:space="5"/>
          <w:right w:space="5"/>
        </w:pBdr>
        <w:spacing w:after="0"/>
        <w:ind w:left="1305"/>
        <w:jc w:val="left"/>
      </w:pPr>
      <w:r>
        <w:rPr>
          <w:rFonts w:ascii="Times New Roman" w:hAnsi="Times New Roman"/>
          <w:b w:val="false"/>
          <w:i w:val="false"/>
          <w:color w:val="000000"/>
          <w:sz w:val="22"/>
        </w:rPr>
        <w:t xml:space="preserve">(B) Limitations. Approval authority of D&amp;Fs for Interagency Economy Act orders that will result in a contracting action executed by an agency not subject to the FAR (e.g. the Central Intelligence Agency, Tennessee Valley Authority, United States Postal Service, Federal Aviation Administration, and Library of Congress), is limited to the NSPE, without power of redelegation. Submit D&amp;Fs for approval with a copy of the approved AS, STRAP, or MOPAS-S to DASN(P) by email at </w:t>
      </w:r>
      <w:hyperlink r:id="R78c2f1ff11874e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Interagency Economy Act orders by Agency not Subject to FAR.”</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Documentation</w:t>
      </w:r>
      <w:r>
        <w:rPr>
          <w:rFonts w:ascii="Times New Roman" w:hAnsi="Times New Roman"/>
          <w:b w:val="false"/>
          <w:i w:val="false"/>
          <w:color w:val="000000"/>
          <w:sz w:val="22"/>
        </w:rPr>
        <w:t>. Files of approved orders, including supporting documentation, shall be maintained at a single location within each activity delegated approval authority.</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17.7" w:id="17"/>
      <w:r>
        <w:rPr>
          <w:rFonts w:ascii="Times New Roman" w:hAnsi="Times New Roman"/>
          <w:color w:val="000000"/>
          <w:sz w:val="36"/>
        </w:rPr>
        <w:t>SUBPART 5217.7</w:t>
      </w:r>
      <w:r>
        <w:rPr>
          <w:rFonts w:ascii="Times New Roman" w:hAnsi="Times New Roman"/>
          <w:color w:val="000000"/>
          <w:sz w:val="36"/>
        </w:rPr>
        <w:t xml:space="preserve"> — INTERAGENCY ACQUISITIONS: ACQUISITIONS BY NONDEFENSE AGENCIES ON BEHALF OF THE DEPARTMENT OF DEFENSE</w:t>
      </w:r>
      <w:bookmarkEnd w:id="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703" w:id="18"/>
      <w:r>
        <w:rPr>
          <w:rFonts w:ascii="Times New Roman" w:hAnsi="Times New Roman"/>
          <w:color w:val="000000"/>
          <w:sz w:val="31"/>
        </w:rPr>
        <w:t>5217.703</w:t>
      </w:r>
      <w:r>
        <w:rPr>
          <w:rFonts w:ascii="Times New Roman" w:hAnsi="Times New Roman"/>
          <w:color w:val="000000"/>
          <w:sz w:val="31"/>
        </w:rPr>
        <w:t xml:space="preserve"> Policy.</w:t>
      </w:r>
      <w:bookmarkEnd w:id="18"/>
    </w:p>
    <w:p>
      <w:pPr>
        <w:pStyle w:val="Normal"/>
        <w:pBdr>
          <w:top w:space="5"/>
          <w:left w:space="5"/>
          <w:bottom w:space="5"/>
          <w:right w:space="5"/>
        </w:pBdr>
        <w:spacing w:after="0"/>
        <w:ind w:left="225"/>
        <w:jc w:val="left"/>
      </w:pPr>
      <w:r>
        <w:rPr>
          <w:rFonts w:ascii="Times New Roman" w:hAnsi="Times New Roman"/>
          <w:color w:val="000000"/>
        </w:rPr>
        <w:t xml:space="preserve">(c) Submit nondefense agency certifications of compliance to DPC within 40 days of the beginning of the fiscal year via DASN(P) by email at </w:t>
      </w:r>
      <w:hyperlink r:id="R4a5d219c733e4a3f">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FAR 17.703 - Annual Nondefense Agency Certifications Report.”</w:t>
      </w:r>
    </w:p>
    <w:p>
      <w:pPr>
        <w:pStyle w:val="Normal"/>
        <w:pBdr>
          <w:top w:space="5"/>
          <w:left w:space="5"/>
          <w:bottom w:space="5"/>
          <w:right w:space="5"/>
        </w:pBdr>
        <w:spacing w:after="0"/>
        <w:ind w:left="225"/>
        <w:jc w:val="left"/>
      </w:pPr>
      <w:r>
        <w:rPr>
          <w:rFonts w:ascii="Times New Roman" w:hAnsi="Times New Roman"/>
          <w:color w:val="000000"/>
        </w:rPr>
        <w:t xml:space="preserve">(e) The HCA is the approval authority, without power of redelegation, for written determinations. Submit a copy of the signed written determination to DASN(P) by email at </w:t>
      </w:r>
      <w:hyperlink r:id="R822fb4ab57784891">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FAR 17.703 – Section 801 Subsection(b)(2) FY 2008 NDAA Waiver Determination.”</w:t>
      </w:r>
    </w:p>
    <!-- Created by docx4j 6.1.2 (Apache licensed) using REFERENCE JAXB in Oracle Java 15 on Linux -->
    <w:p>
      <w:pPr>
        <w:pStyle w:val="Heading3"/>
        <w:spacing w:after="199"/>
        <w:ind w:left="120"/>
        <w:jc w:val="left"/>
      </w:pPr>
      <w:bookmarkStart w:name="NMCARS_5217.770" w:id="19"/>
      <w:r>
        <w:rPr>
          <w:rFonts w:ascii="Times New Roman" w:hAnsi="Times New Roman"/>
          <w:color w:val="000000"/>
          <w:sz w:val="31"/>
        </w:rPr>
        <w:t>5217.770</w:t>
      </w:r>
      <w:r>
        <w:rPr>
          <w:rFonts w:ascii="Times New Roman" w:hAnsi="Times New Roman"/>
          <w:color w:val="000000"/>
          <w:sz w:val="31"/>
        </w:rPr>
        <w:t xml:space="preserve"> Procedures.</w:t>
      </w:r>
      <w:bookmarkEnd w:id="19"/>
    </w:p>
    <w:p>
      <w:pPr>
        <w:pBdr>
          <w:top w:space="5"/>
          <w:left w:space="5"/>
          <w:bottom w:space="5"/>
          <w:right w:space="5"/>
        </w:pBdr>
        <w:spacing w:after="0"/>
        <w:ind w:left="225"/>
        <w:jc w:val="left"/>
      </w:pPr>
      <w:r>
        <w:rPr>
          <w:rFonts w:ascii="Times New Roman" w:hAnsi="Times New Roman"/>
          <w:b w:val="false"/>
          <w:i w:val="false"/>
          <w:color w:val="000000"/>
          <w:sz w:val="22"/>
        </w:rPr>
        <w:t>HCAs shall establish and maintain procedures, for assisted and direct acquisitions, consistent with approval authorities in this section, for reviewing and approving orders placed for supplies and services under non-DoD contracts when the amount of the order exceeds the simplified acquisition threshold. Approval authorities for assisted and direct acquisitions are:</w:t>
      </w:r>
    </w:p>
    <w:p>
      <w:pPr>
        <w:pBdr>
          <w:top w:space="5"/>
          <w:left w:space="5"/>
          <w:bottom w:space="5"/>
          <w:right w:space="5"/>
        </w:pBdr>
        <w:spacing w:after="0"/>
        <w:ind w:left="225"/>
        <w:jc w:val="left"/>
      </w:pPr>
      <w:r>
        <w:rPr>
          <w:rFonts w:ascii="Times New Roman" w:hAnsi="Times New Roman"/>
          <w:b w:val="false"/>
          <w:i w:val="false"/>
          <w:color w:val="000000"/>
          <w:sz w:val="22"/>
        </w:rPr>
        <w:t>(1) Assisted acquisitions.</w:t>
      </w:r>
    </w:p>
    <w:p>
      <w:pPr>
        <w:pBdr>
          <w:top w:space="5"/>
          <w:left w:space="5"/>
          <w:bottom w:space="5"/>
          <w:right w:space="5"/>
        </w:pBdr>
        <w:spacing w:after="0"/>
        <w:ind w:left="585"/>
        <w:jc w:val="left"/>
      </w:pPr>
      <w:r>
        <w:rPr>
          <w:rFonts w:ascii="Times New Roman" w:hAnsi="Times New Roman"/>
          <w:b w:val="false"/>
          <w:i w:val="false"/>
          <w:color w:val="000000"/>
          <w:sz w:val="22"/>
        </w:rPr>
        <w:t>(i) ASN(RDA) is the decision authority for assisted acquisitions exceeding $550,000,000.</w:t>
      </w:r>
    </w:p>
    <w:p>
      <w:pPr>
        <w:pBdr>
          <w:top w:space="5"/>
          <w:left w:space="5"/>
          <w:bottom w:space="5"/>
          <w:right w:space="5"/>
        </w:pBdr>
        <w:spacing w:after="0"/>
        <w:ind w:left="585"/>
        <w:jc w:val="left"/>
      </w:pPr>
      <w:r>
        <w:rPr>
          <w:rFonts w:ascii="Times New Roman" w:hAnsi="Times New Roman"/>
          <w:b w:val="false"/>
          <w:i w:val="false"/>
          <w:color w:val="000000"/>
          <w:sz w:val="22"/>
        </w:rPr>
        <w:t>(ii) DASN(P) is the decision authority for assisted acquisitions exceeding $50,000,000.</w:t>
      </w:r>
    </w:p>
    <w:p>
      <w:pPr>
        <w:pBdr>
          <w:top w:space="5"/>
          <w:left w:space="5"/>
          <w:bottom w:space="5"/>
          <w:right w:space="5"/>
        </w:pBdr>
        <w:spacing w:after="0"/>
        <w:ind w:left="585"/>
        <w:jc w:val="left"/>
      </w:pPr>
      <w:r>
        <w:rPr>
          <w:rFonts w:ascii="Times New Roman" w:hAnsi="Times New Roman"/>
          <w:b w:val="false"/>
          <w:i w:val="false"/>
          <w:color w:val="000000"/>
          <w:sz w:val="22"/>
        </w:rPr>
        <w:t>(iii) The HCA is the decision authority for assisted acquisitions at or below $50,000,000. This authority may be delegated; but, for requirements over $5,000,000, decision authority may only be delegated to an official in the Requiring Organization who is a Flag or General Officer; a member of the SES; or, for a requirement arising from a claimant activity without Flag/General Officer/SES, the commanding officer of that activity.</w:t>
      </w:r>
    </w:p>
    <w:p>
      <w:pPr>
        <w:pBdr>
          <w:top w:space="5"/>
          <w:left w:space="5"/>
          <w:bottom w:space="5"/>
          <w:right w:space="5"/>
        </w:pBdr>
        <w:spacing w:after="0"/>
        <w:ind w:left="225"/>
        <w:jc w:val="left"/>
      </w:pPr>
      <w:r>
        <w:rPr>
          <w:rFonts w:ascii="Times New Roman" w:hAnsi="Times New Roman"/>
          <w:b w:val="false"/>
          <w:i w:val="false"/>
          <w:color w:val="000000"/>
          <w:sz w:val="22"/>
        </w:rPr>
        <w:t>(2) Direct acquisitions. The business clearance approval official is the decision authority for direct acquisitions.</w:t>
      </w:r>
    </w:p>
    <!-- Created by docx4j 6.1.2 (Apache licensed) using REFERENCE JAXB in Oracle Java 15 on Linux -->
    <w:p>
      <w:pPr>
        <w:pStyle w:val="Heading2"/>
        <w:spacing w:after="180"/>
        <w:ind w:left="120"/>
        <w:jc w:val="center"/>
      </w:pPr>
      <w:bookmarkStart w:name="NMCARS_SUBPART_5217.74" w:id="20"/>
      <w:r>
        <w:rPr>
          <w:rFonts w:ascii="Times New Roman" w:hAnsi="Times New Roman"/>
          <w:color w:val="000000"/>
          <w:sz w:val="36"/>
        </w:rPr>
        <w:t>SUBPART 5217.74</w:t>
      </w:r>
      <w:r>
        <w:rPr>
          <w:rFonts w:ascii="Times New Roman" w:hAnsi="Times New Roman"/>
          <w:color w:val="000000"/>
          <w:sz w:val="36"/>
        </w:rPr>
        <w:t xml:space="preserve"> — UNDEFINITIZED CONTRACT ACTIONS</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7402" w:id="21"/>
      <w:r>
        <w:rPr>
          <w:rFonts w:ascii="Times New Roman" w:hAnsi="Times New Roman"/>
          <w:color w:val="000000"/>
          <w:sz w:val="31"/>
        </w:rPr>
        <w:t>5217.7402</w:t>
      </w:r>
      <w:r>
        <w:rPr>
          <w:rFonts w:ascii="Times New Roman" w:hAnsi="Times New Roman"/>
          <w:color w:val="000000"/>
          <w:sz w:val="31"/>
        </w:rPr>
        <w:t xml:space="preserve"> Exceptions.</w:t>
      </w:r>
      <w:bookmarkEnd w:id="21"/>
    </w:p>
    <w:p>
      <w:pPr>
        <w:pStyle w:val="Normal"/>
        <w:pBdr>
          <w:top w:space="5"/>
          <w:left w:space="5"/>
          <w:bottom w:space="5"/>
          <w:right w:space="5"/>
        </w:pBdr>
        <w:spacing w:after="0"/>
        <w:ind w:left="225"/>
        <w:jc w:val="left"/>
      </w:pPr>
      <w:r>
        <w:rPr>
          <w:rFonts w:ascii="Times New Roman" w:hAnsi="Times New Roman"/>
          <w:color w:val="000000"/>
        </w:rPr>
        <w:t xml:space="preserve">(b) Submit the required advance notification to the Director, DPC via DASN(P) by email at </w:t>
      </w:r>
      <w:hyperlink r:id="R43305903d8a74117">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217.7402(b) - Advance Notice of Impracticable UCA Policy Adherence.”</w:t>
      </w:r>
    </w:p>
    <!-- Created by docx4j 6.1.2 (Apache licensed) using REFERENCE JAXB in Oracle Java 15 on Linux -->
    <w:p>
      <w:pPr>
        <w:pStyle w:val="Heading3"/>
        <w:spacing w:after="199"/>
        <w:ind w:left="120"/>
        <w:jc w:val="left"/>
      </w:pPr>
      <w:bookmarkStart w:name="NMCARS_5217.7404" w:id="22"/>
      <w:r>
        <w:rPr>
          <w:rFonts w:ascii="Times New Roman" w:hAnsi="Times New Roman"/>
          <w:color w:val="000000"/>
          <w:sz w:val="31"/>
        </w:rPr>
        <w:t>5217.7404</w:t>
      </w:r>
      <w:r>
        <w:rPr>
          <w:rFonts w:ascii="Times New Roman" w:hAnsi="Times New Roman"/>
          <w:color w:val="000000"/>
          <w:sz w:val="31"/>
        </w:rPr>
        <w:t xml:space="preserve"> Limitations.</w:t>
      </w:r>
      <w:bookmarkEnd w:id="2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74043" w:id="23"/>
      <w:r>
        <w:rPr>
          <w:rFonts w:ascii="Times New Roman" w:hAnsi="Times New Roman"/>
          <w:i w:val="false"/>
          <w:color w:val="000000"/>
          <w:sz w:val="31"/>
        </w:rPr>
        <w:t>5217.7404-3</w:t>
      </w:r>
      <w:r>
        <w:rPr>
          <w:rFonts w:ascii="Times New Roman" w:hAnsi="Times New Roman"/>
          <w:i w:val="false"/>
          <w:color w:val="000000"/>
          <w:sz w:val="31"/>
        </w:rPr>
        <w:t xml:space="preserve"> Definitization Schedule.</w:t>
      </w:r>
      <w:bookmarkEnd w:id="23"/>
    </w:p>
    <w:p>
      <w:pPr>
        <w:pStyle w:val="Normal"/>
        <w:pBdr>
          <w:top w:space="5"/>
          <w:left w:space="5"/>
          <w:bottom w:space="5"/>
          <w:right w:space="5"/>
        </w:pBdr>
        <w:spacing w:after="0"/>
        <w:ind w:left="225"/>
        <w:jc w:val="left"/>
      </w:pPr>
      <w:r>
        <w:rPr>
          <w:rFonts w:ascii="Times New Roman" w:hAnsi="Times New Roman"/>
          <w:color w:val="000000"/>
        </w:rPr>
        <w:t>(b) For any reportable Undefinitized Contract Action (UCA) that falls 30 days behind its definitization schedule, the contracting officer shall notify the approval authority of the delay and identify actions taken to get back on schedule.</w:t>
      </w:r>
    </w:p>
    <!-- Created by docx4j 6.1.2 (Apache licensed) using REFERENCE JAXB in Oracle Java 15 on Linux -->
    <w:p>
      <w:pPr>
        <w:spacing w:after="360"/>
        <w:ind w:left="120"/>
        <w:jc w:val="left"/>
      </w:pPr>
      <w:r>
        <w:rPr>
          <w:rFonts w:ascii="Times New Roman" w:hAnsi="Times New Roman"/>
          <w:b/>
          <w:i w:val="false"/>
          <w:color w:val="000000"/>
          <w:sz w:val="24"/>
        </w:rPr>
        <w:t>5217.7404-5</w:t>
      </w:r>
      <w:r>
        <w:rPr>
          <w:rFonts w:ascii="Times New Roman" w:hAnsi="Times New Roman"/>
          <w:b/>
          <w:i w:val="false"/>
          <w:color w:val="000000"/>
          <w:sz w:val="24"/>
        </w:rPr>
        <w:t xml:space="preserve"> Exceptions.</w:t>
      </w:r>
    </w:p>
    <w:p>
      <w:pPr>
        <w:pStyle w:val="Normal"/>
        <w:pBdr>
          <w:top w:space="5"/>
          <w:left w:space="5"/>
          <w:bottom w:space="5"/>
          <w:right w:space="5"/>
        </w:pBdr>
        <w:spacing w:after="0"/>
        <w:ind w:left="225"/>
        <w:jc w:val="left"/>
      </w:pPr>
      <w:r>
        <w:rPr>
          <w:rFonts w:ascii="Times New Roman" w:hAnsi="Times New Roman"/>
          <w:color w:val="000000"/>
        </w:rPr>
        <w:t xml:space="preserve">(b) Submit requests for waivers of limitations on UCAs to DASN(P) by email at </w:t>
      </w:r>
      <w:hyperlink r:id="Rcc683e893c594faa">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217.7404-5 - Waiver of Limitations on UCAs—[insert applicable DFARS cite].”</w:t>
      </w:r>
    </w:p>
    <!-- Created by docx4j 6.1.2 (Apache licensed) using REFERENCE JAXB in Oracle Java 15 on Linux -->
    <w:p>
      <w:pPr>
        <w:pStyle w:val="Heading3"/>
        <w:spacing w:after="199"/>
        <w:ind w:left="120"/>
        <w:jc w:val="left"/>
      </w:pPr>
      <w:bookmarkStart w:name="NMCARS_5217.7405" w:id="24"/>
      <w:r>
        <w:rPr>
          <w:rFonts w:ascii="Times New Roman" w:hAnsi="Times New Roman"/>
          <w:color w:val="000000"/>
          <w:sz w:val="31"/>
        </w:rPr>
        <w:t>5217.7405</w:t>
      </w:r>
      <w:r>
        <w:rPr>
          <w:rFonts w:ascii="Times New Roman" w:hAnsi="Times New Roman"/>
          <w:color w:val="000000"/>
          <w:sz w:val="31"/>
        </w:rPr>
        <w:t xml:space="preserve"> Plans and Reports.</w:t>
      </w:r>
      <w:bookmarkEnd w:id="24"/>
    </w:p>
    <w:p>
      <w:pPr>
        <w:pStyle w:val="Normal"/>
        <w:pBdr>
          <w:top w:space="5"/>
          <w:left w:space="5"/>
          <w:bottom w:space="5"/>
          <w:right w:space="5"/>
        </w:pBdr>
        <w:spacing w:after="0"/>
        <w:ind w:left="225"/>
        <w:jc w:val="left"/>
      </w:pPr>
      <w:r>
        <w:rPr>
          <w:rFonts w:ascii="Times New Roman" w:hAnsi="Times New Roman"/>
          <w:color w:val="000000"/>
        </w:rPr>
        <w:t>(a)(2) HCAs shall submit by April 15 and October 15 a Consolidated Undefinitized Contract Action (UCA) Management Report, identifying each UCA and unpriced change order with an estimated value of more than $5 million.</w:t>
      </w:r>
    </w:p>
    <w:p>
      <w:pPr>
        <w:pStyle w:val="Normal"/>
        <w:pBdr>
          <w:top w:space="5"/>
          <w:left w:space="5"/>
          <w:bottom w:space="5"/>
          <w:right w:space="5"/>
        </w:pBdr>
        <w:spacing w:after="0"/>
        <w:ind w:left="225"/>
        <w:jc w:val="left"/>
      </w:pPr>
      <w:r>
        <w:rPr>
          <w:rFonts w:ascii="Times New Roman" w:hAnsi="Times New Roman"/>
          <w:color w:val="000000"/>
        </w:rPr>
        <w:t xml:space="preserve">(b) In the format prescribed at Annex 6, submit the required UCA report to DASN(P) by email at </w:t>
      </w:r>
      <w:hyperlink r:id="R4a1120eaa9e04e24">
        <w:r>
          <w:rPr>
            <w:rStyle w:val="Hyperlink"/>
            <w:rFonts w:ascii="Times New Roman" w:hAnsi="Times New Roman"/>
            <w:color w:val="0000ff"/>
            <w:u w:val="single"/>
          </w:rPr>
          <w:t/>
        </w:r>
        <w:r>
          <w:rPr>
            <w:rFonts w:ascii="Times New Roman" w:hAnsi="Times New Roman"/>
            <w:color w:val="0000ff"/>
            <w:u w:val="single"/>
          </w:rPr>
          <w:t>Policy@navy.mil</w:t>
        </w:r>
      </w:hyperlink>
      <w:r>
        <w:rPr>
          <w:rFonts w:ascii="Times New Roman" w:hAnsi="Times New Roman"/>
          <w:color w:val="000000"/>
        </w:rPr>
        <w:t xml:space="preserve"> with the subject “DFARS 217.7405 - UCA Management Report” followed by the applicable reporting period/year (e.g. UCA Management Report: April 15, 2014).</w:t>
      </w:r>
    </w:p>
    <w:sectPr>
      <w:pgSz w:w="12240" w:h="15840" w:code="1"/>
      <w:pgMar w:top="1440" w:right="1440" w:bottom="1440" w:left="1440"/>
      <w:pgNumType w:start="1"/>
      <w:footerReference w:type="default" r:id="R964dba274cb2475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64dba274cb2475a" /><Relationship Type="http://schemas.openxmlformats.org/officeDocument/2006/relationships/hyperlink" Target="SUBPART_5217.1.dita#NMCARS_SUBPART_5217.1" TargetMode="External" Id="R94a381b0679c4d4a" /><Relationship Type="http://schemas.openxmlformats.org/officeDocument/2006/relationships/hyperlink" Target="5217.105.dita#NMCARS_5217.105" TargetMode="External" Id="Rd37256097dc74c04" /><Relationship Type="http://schemas.openxmlformats.org/officeDocument/2006/relationships/hyperlink" Target="5217.1051.dita#NMCARS_5217.1051" TargetMode="External" Id="R8c889d73e8484105" /><Relationship Type="http://schemas.openxmlformats.org/officeDocument/2006/relationships/hyperlink" Target="5217.170.dita#NMCARS_5217.170" TargetMode="External" Id="R62a258853ff04d35" /><Relationship Type="http://schemas.openxmlformats.org/officeDocument/2006/relationships/hyperlink" Target="5217.171.dita#NMCARS_5217.171" TargetMode="External" Id="R3b74ef6605954402" /><Relationship Type="http://schemas.openxmlformats.org/officeDocument/2006/relationships/hyperlink" Target="5217.172.dita#NMCARS_5217.172" TargetMode="External" Id="R628ec7d2dcb94111" /><Relationship Type="http://schemas.openxmlformats.org/officeDocument/2006/relationships/hyperlink" Target="5217.17290.dita#NMCARS_5217.17290" TargetMode="External" Id="Rd2b9f93f24f947ff" /><Relationship Type="http://schemas.openxmlformats.org/officeDocument/2006/relationships/hyperlink" Target="5217.174.dita#NMCARS_5217.174" TargetMode="External" Id="R4af630566b964e2f" /><Relationship Type="http://schemas.openxmlformats.org/officeDocument/2006/relationships/hyperlink" Target="SUBPART_5217.2.dita#NMCARS_SUBPART_5217.2" TargetMode="External" Id="Rb75c9a61b223415b" /><Relationship Type="http://schemas.openxmlformats.org/officeDocument/2006/relationships/hyperlink" Target="5217.200.dita#NMCARS_5217.200" TargetMode="External" Id="R974c36f5312a46eb" /><Relationship Type="http://schemas.openxmlformats.org/officeDocument/2006/relationships/hyperlink" Target="5217.204.dita#NMCARS_5217.204" TargetMode="External" Id="Rba18293476444c0c" /><Relationship Type="http://schemas.openxmlformats.org/officeDocument/2006/relationships/hyperlink" Target="5217.207.dita#NMCARS_5217.207" TargetMode="External" Id="R582a990d96b04d7a" /><Relationship Type="http://schemas.openxmlformats.org/officeDocument/2006/relationships/hyperlink" Target="SUBPART_5217.5.dita#NMCARS_SUBPART_5217.5" TargetMode="External" Id="R54ed51bfad00412b" /><Relationship Type="http://schemas.openxmlformats.org/officeDocument/2006/relationships/hyperlink" Target="5217.502.dita#NMCARS_5217.502" TargetMode="External" Id="R93a0ed3067d04fdb" /><Relationship Type="http://schemas.openxmlformats.org/officeDocument/2006/relationships/hyperlink" Target="5217.5021.dita#NMCARS_5217.5021" TargetMode="External" Id="R0306cdd417664e0a" /><Relationship Type="http://schemas.openxmlformats.org/officeDocument/2006/relationships/hyperlink" Target="5217.5022.dita#NMCARS_5217.5022" TargetMode="External" Id="R6155cd8366fb460e" /><Relationship Type="http://schemas.openxmlformats.org/officeDocument/2006/relationships/hyperlink" Target="SUBPART_5217.7.dita#NMCARS_SUBPART_5217.7" TargetMode="External" Id="R3d071b4a23e64281" /><Relationship Type="http://schemas.openxmlformats.org/officeDocument/2006/relationships/hyperlink" Target="5217.703.dita#NMCARS_5217.703" TargetMode="External" Id="R350ed8c25e334a74" /><Relationship Type="http://schemas.openxmlformats.org/officeDocument/2006/relationships/hyperlink" Target="5217.770.dita#NMCARS_5217.770" TargetMode="External" Id="R89e35f646e334d68" /><Relationship Type="http://schemas.openxmlformats.org/officeDocument/2006/relationships/hyperlink" Target="SUBPART_5217.74.dita#NMCARS_SUBPART_5217.74" TargetMode="External" Id="Rfec46bcd4d4b411b" /><Relationship Type="http://schemas.openxmlformats.org/officeDocument/2006/relationships/hyperlink" Target="5217.7402.dita#NMCARS_5217.7402" TargetMode="External" Id="R6dc0e27893184585" /><Relationship Type="http://schemas.openxmlformats.org/officeDocument/2006/relationships/hyperlink" Target="5217.7404.dita#NMCARS_5217.7404" TargetMode="External" Id="Rbc8e983bb4974d77" /><Relationship Type="http://schemas.openxmlformats.org/officeDocument/2006/relationships/hyperlink" Target="5217.74043.dita#NMCARS_5217.74043" TargetMode="External" Id="Rf1dfb84760a347e8" /><Relationship Type="http://schemas.openxmlformats.org/officeDocument/2006/relationships/hyperlink" Target="5217.74045.dita#NMCARS_5217.74045" TargetMode="External" Id="R39d495025ee34d53" /><Relationship Type="http://schemas.openxmlformats.org/officeDocument/2006/relationships/hyperlink" Target="5217.7405.dita#NMCARS_5217.7405" TargetMode="External" Id="R6b8aeda06066433e" /><Relationship Type="http://schemas.openxmlformats.org/officeDocument/2006/relationships/hyperlink" Target="mailto:Rdaj&amp;as.fct@navy.mil" TargetMode="External" Id="R1f35eb9cb0914886" /><Relationship Type="http://schemas.openxmlformats.org/officeDocument/2006/relationships/hyperlink" Target="mailto:Rdaj&amp;as.fct@navy.mil" TargetMode="External" Id="R54bb957154c2468b" /><Relationship Type="http://schemas.openxmlformats.org/officeDocument/2006/relationships/hyperlink" Target="mailto:Rdaj&amp;as.fct@navy.mil" TargetMode="External" Id="R5292a89a30b04415" /><Relationship Type="http://schemas.openxmlformats.org/officeDocument/2006/relationships/hyperlink" Target="mailto:RDAJ&amp;As.fct@navy.mil" TargetMode="External" Id="R71102079a7fb4354" /><Relationship Type="http://schemas.openxmlformats.org/officeDocument/2006/relationships/hyperlink" Target="mailto:Rdaj&amp;as.fct@navy.mil" TargetMode="External" Id="R20198ccf2d8042a1" /><Relationship Type="http://schemas.openxmlformats.org/officeDocument/2006/relationships/hyperlink" Target="mailto:RDAJ&amp;As.fct@navy.mil" TargetMode="External" Id="Re2136142f2534b23" /><Relationship Type="http://schemas.openxmlformats.org/officeDocument/2006/relationships/hyperlink" Target="mailto:RDAJ&amp;As.fct@navy.mil" TargetMode="External" Id="R6588c93b2e0544c5" /><Relationship Type="http://schemas.openxmlformats.org/officeDocument/2006/relationships/hyperlink" Target="mailto:Rdaj&amp;as.fct@navy.mil" TargetMode="External" Id="R01942fd0dd894443" /><Relationship Type="http://schemas.openxmlformats.org/officeDocument/2006/relationships/hyperlink" Target="mailto:Rdaj&amp;as.fct@navy.mil" TargetMode="External" Id="R78c2f1ff11874e69" /><Relationship Type="http://schemas.openxmlformats.org/officeDocument/2006/relationships/hyperlink" Target="mailto:RDAJ&amp;As.fct@navy.mil" TargetMode="External" Id="R4a5d219c733e4a3f" /><Relationship Type="http://schemas.openxmlformats.org/officeDocument/2006/relationships/hyperlink" Target="mailto:RDAJ&amp;As.fct@navy.mil" TargetMode="External" Id="R822fb4ab57784891" /><Relationship Type="http://schemas.openxmlformats.org/officeDocument/2006/relationships/hyperlink" Target="mailto:Rdaj&amp;as.fct@navy.mil" TargetMode="External" Id="R43305903d8a74117" /><Relationship Type="http://schemas.openxmlformats.org/officeDocument/2006/relationships/hyperlink" Target="mailto:Rdaj&amp;as.fct@navy.mil" TargetMode="External" Id="Rcc683e893c594faa" /><Relationship Type="http://schemas.openxmlformats.org/officeDocument/2006/relationships/hyperlink" Target="mailto:Policy@navy.mil" TargetMode="External" Id="R4a1120eaa9e04e2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