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_5206" w:id="0"/>
      <w:r>
        <w:rPr>
          <w:rFonts w:ascii="Times New Roman" w:hAnsi="Times New Roman"/>
          <w:color w:val="000000"/>
          <w:sz w:val="48"/>
        </w:rPr>
        <w:t>PART 5206</w:t>
      </w:r>
      <w:r>
        <w:rPr>
          <w:rFonts w:ascii="Times New Roman" w:hAnsi="Times New Roman"/>
          <w:color w:val="000000"/>
          <w:sz w:val="48"/>
        </w:rPr>
        <w:t xml:space="preserve"> COMPETITION REQUIREMENTS</w:t>
      </w:r>
      <w:bookmarkEnd w:id="0"/>
    </w:p>
    <w:p>
      <w:pPr>
        <w:spacing w:after="0"/>
        <w:jc w:val="left"/>
        <w:ind w:left="720" w:hanging="360"/>
      </w:pPr>
      <w:hyperlink w:anchor="NMCARS_SUBPART_5206.2">
        <w:r>
          <w:rPr>
            <w:rStyle w:val="Hyperlink"/>
            <w:rFonts w:ascii="Times New Roman" w:hAnsi="Times New Roman"/>
            <w:b w:val="false"/>
            <w:i w:val="false"/>
            <w:color w:val="0000ff"/>
            <w:sz w:val="22"/>
            <w:u w:val="single"/>
          </w:rPr>
          <w:t>SUBPART 5206.2 – FULL AND OPEN COMPETITION AFTER EXCLUSION OF SOURCES</w:t>
        </w:r>
      </w:hyperlink>
    </w:p>
    <w:p>
      <w:pPr>
        <w:spacing w:after="0"/>
        <w:jc w:val="left"/>
        <w:ind w:left="1440" w:hanging="360"/>
      </w:pPr>
      <w:hyperlink w:anchor="NMCARS_5206.202">
        <w:r>
          <w:rPr>
            <w:rStyle w:val="Hyperlink"/>
            <w:rFonts w:ascii="Times New Roman" w:hAnsi="Times New Roman"/>
            <w:b w:val="false"/>
            <w:i w:val="false"/>
            <w:color w:val="0000ff"/>
            <w:sz w:val="22"/>
            <w:u w:val="single"/>
          </w:rPr>
          <w:t>5206.202 Establishing or maintaining alternative sources.</w:t>
        </w:r>
      </w:hyperlink>
    </w:p>
    <w:p>
      <w:pPr>
        <w:spacing w:after="0"/>
        <w:jc w:val="left"/>
        <w:ind w:left="720" w:hanging="360"/>
      </w:pPr>
      <w:hyperlink w:anchor="NMCARS_SUBPART_5206.3">
        <w:r>
          <w:rPr>
            <w:rStyle w:val="Hyperlink"/>
            <w:rFonts w:ascii="Times New Roman" w:hAnsi="Times New Roman"/>
            <w:b w:val="false"/>
            <w:i w:val="false"/>
            <w:color w:val="0000ff"/>
            <w:sz w:val="22"/>
            <w:u w:val="single"/>
          </w:rPr>
          <w:t>SUBPART 5206.3 — OTHER THAN FULL AND OPEN COMPETITION</w:t>
        </w:r>
      </w:hyperlink>
    </w:p>
    <w:p>
      <w:pPr>
        <w:spacing w:after="0"/>
        <w:jc w:val="left"/>
        <w:ind w:left="1440" w:hanging="360"/>
      </w:pPr>
      <w:hyperlink w:anchor="NMCARS_5206.302">
        <w:r>
          <w:rPr>
            <w:rStyle w:val="Hyperlink"/>
            <w:rFonts w:ascii="Times New Roman" w:hAnsi="Times New Roman"/>
            <w:b w:val="false"/>
            <w:i w:val="false"/>
            <w:color w:val="0000ff"/>
            <w:sz w:val="22"/>
            <w:u w:val="single"/>
          </w:rPr>
          <w:t>5206.302 Circumstances permitting other than full and open competition.</w:t>
        </w:r>
      </w:hyperlink>
    </w:p>
    <w:p>
      <w:pPr>
        <w:spacing w:after="0"/>
        <w:jc w:val="left"/>
        <w:ind w:left="2160" w:hanging="360"/>
      </w:pPr>
      <w:hyperlink w:anchor="NMCARS_5206.3025">
        <w:r>
          <w:rPr>
            <w:rStyle w:val="Hyperlink"/>
            <w:rFonts w:ascii="Times New Roman" w:hAnsi="Times New Roman"/>
            <w:b w:val="false"/>
            <w:i w:val="false"/>
            <w:color w:val="0000ff"/>
            <w:sz w:val="22"/>
            <w:u w:val="single"/>
          </w:rPr>
          <w:t>5206.302-5 Authorized or required by statute.</w:t>
        </w:r>
      </w:hyperlink>
    </w:p>
    <w:p>
      <w:pPr>
        <w:spacing w:after="0"/>
        <w:jc w:val="left"/>
        <w:ind w:left="1440" w:hanging="360"/>
      </w:pPr>
      <w:hyperlink w:anchor="NMCARS_5206.303">
        <w:r>
          <w:rPr>
            <w:rStyle w:val="Hyperlink"/>
            <w:rFonts w:ascii="Times New Roman" w:hAnsi="Times New Roman"/>
            <w:b w:val="false"/>
            <w:i w:val="false"/>
            <w:color w:val="0000ff"/>
            <w:sz w:val="22"/>
            <w:u w:val="single"/>
          </w:rPr>
          <w:t>5206.303 Justifications.</w:t>
        </w:r>
      </w:hyperlink>
    </w:p>
    <w:p>
      <w:pPr>
        <w:spacing w:after="0"/>
        <w:jc w:val="left"/>
        <w:ind w:left="2160" w:hanging="180"/>
      </w:pPr>
      <w:hyperlink w:anchor="NMCARS_5206.3031">
        <w:r>
          <w:rPr>
            <w:rStyle w:val="Hyperlink"/>
            <w:rFonts w:ascii="Times New Roman" w:hAnsi="Times New Roman"/>
            <w:b w:val="false"/>
            <w:i w:val="false"/>
            <w:color w:val="0000ff"/>
            <w:sz w:val="22"/>
            <w:u w:val="single"/>
          </w:rPr>
          <w:t>5206.303-1 Requirements.</w:t>
        </w:r>
      </w:hyperlink>
    </w:p>
    <w:p>
      <w:pPr>
        <w:spacing w:after="0"/>
        <w:jc w:val="left"/>
        <w:ind w:left="2160" w:hanging="180"/>
      </w:pPr>
      <w:hyperlink w:anchor="NMCARS_5206.3032">
        <w:r>
          <w:rPr>
            <w:rStyle w:val="Hyperlink"/>
            <w:rFonts w:ascii="Times New Roman" w:hAnsi="Times New Roman"/>
            <w:b w:val="false"/>
            <w:i w:val="false"/>
            <w:color w:val="0000ff"/>
            <w:sz w:val="22"/>
            <w:u w:val="single"/>
          </w:rPr>
          <w:t>5206.303-2 Content.</w:t>
        </w:r>
      </w:hyperlink>
    </w:p>
    <w:p>
      <w:pPr>
        <w:spacing w:after="0"/>
        <w:jc w:val="left"/>
        <w:ind w:left="2160" w:hanging="180"/>
      </w:pPr>
      <w:hyperlink w:anchor="NMCARS_5206.30390">
        <w:r>
          <w:rPr>
            <w:rStyle w:val="Hyperlink"/>
            <w:rFonts w:ascii="Times New Roman" w:hAnsi="Times New Roman"/>
            <w:b w:val="false"/>
            <w:i w:val="false"/>
            <w:color w:val="0000ff"/>
            <w:sz w:val="22"/>
            <w:u w:val="single"/>
          </w:rPr>
          <w:t>5206.303-90 Legal reviews.</w:t>
        </w:r>
      </w:hyperlink>
    </w:p>
    <w:p>
      <w:pPr>
        <w:spacing w:after="0"/>
        <w:jc w:val="left"/>
        <w:ind w:left="2160" w:hanging="180"/>
      </w:pPr>
      <w:hyperlink w:anchor="NMCARS_5206.30391">
        <w:r>
          <w:rPr>
            <w:rStyle w:val="Hyperlink"/>
            <w:rFonts w:ascii="Times New Roman" w:hAnsi="Times New Roman"/>
            <w:b w:val="false"/>
            <w:i w:val="false"/>
            <w:color w:val="0000ff"/>
            <w:sz w:val="22"/>
            <w:u w:val="single"/>
          </w:rPr>
          <w:t>5206.303-91 Bridge Contract Status Update.</w:t>
        </w:r>
      </w:hyperlink>
    </w:p>
    <w:p>
      <w:pPr>
        <w:spacing w:after="0"/>
        <w:jc w:val="left"/>
        <w:ind w:left="2160" w:hanging="180"/>
      </w:pPr>
      <w:hyperlink w:anchor="NMCARS_5206.30392">
        <w:r>
          <w:rPr>
            <w:rStyle w:val="Hyperlink"/>
            <w:rFonts w:ascii="Times New Roman" w:hAnsi="Times New Roman"/>
            <w:b w:val="false"/>
            <w:i w:val="false"/>
            <w:color w:val="0000ff"/>
            <w:sz w:val="22"/>
            <w:u w:val="single"/>
          </w:rPr>
          <w:t>5206.303-92 Bridge Contract Reporting.</w:t>
        </w:r>
      </w:hyperlink>
    </w:p>
    <w:p>
      <w:pPr>
        <w:spacing w:after="0"/>
        <w:jc w:val="left"/>
        <w:ind w:left="1440" w:hanging="360"/>
      </w:pPr>
      <w:hyperlink w:anchor="NMCARS_5206.304">
        <w:r>
          <w:rPr>
            <w:rStyle w:val="Hyperlink"/>
            <w:rFonts w:ascii="Times New Roman" w:hAnsi="Times New Roman"/>
            <w:b w:val="false"/>
            <w:i w:val="false"/>
            <w:color w:val="0000ff"/>
            <w:sz w:val="22"/>
            <w:u w:val="single"/>
          </w:rPr>
          <w:t>5206.304 Approval of the justification.</w:t>
        </w:r>
      </w:hyperlink>
    </w:p>
    <w:p>
      <w:pPr>
        <w:spacing w:after="0"/>
        <w:jc w:val="left"/>
        <w:ind w:left="1440" w:hanging="360"/>
      </w:pPr>
      <w:hyperlink w:anchor="NMCARS_5206.305">
        <w:r>
          <w:rPr>
            <w:rStyle w:val="Hyperlink"/>
            <w:rFonts w:ascii="Times New Roman" w:hAnsi="Times New Roman"/>
            <w:b w:val="false"/>
            <w:i w:val="false"/>
            <w:color w:val="0000ff"/>
            <w:sz w:val="22"/>
            <w:u w:val="single"/>
          </w:rPr>
          <w:t>5206.305 Availability of the justification.</w:t>
        </w:r>
      </w:hyperlink>
    </w:p>
    <w:p>
      <w:pPr>
        <w:spacing w:after="0"/>
        <w:jc w:val="left"/>
        <w:ind w:left="720" w:hanging="360"/>
      </w:pPr>
      <w:hyperlink w:anchor="NMCARS_SUBPART_5206.5">
        <w:r>
          <w:rPr>
            <w:rStyle w:val="Hyperlink"/>
            <w:rFonts w:ascii="Times New Roman" w:hAnsi="Times New Roman"/>
            <w:b w:val="false"/>
            <w:i w:val="false"/>
            <w:color w:val="0000ff"/>
            <w:sz w:val="22"/>
            <w:u w:val="single"/>
          </w:rPr>
          <w:t>SUBPART 5206.5 — COMPETITION ADVOCATES</w:t>
        </w:r>
      </w:hyperlink>
    </w:p>
    <w:p>
      <w:pPr>
        <w:spacing w:after="0"/>
        <w:jc w:val="left"/>
        <w:ind w:left="1440" w:hanging="360"/>
      </w:pPr>
      <w:hyperlink w:anchor="NMCARS_5206.501">
        <w:r>
          <w:rPr>
            <w:rStyle w:val="Hyperlink"/>
            <w:rFonts w:ascii="Times New Roman" w:hAnsi="Times New Roman"/>
            <w:b w:val="false"/>
            <w:i w:val="false"/>
            <w:color w:val="0000ff"/>
            <w:sz w:val="22"/>
            <w:u w:val="single"/>
          </w:rPr>
          <w:t>5206.501 Requirement.</w:t>
        </w:r>
      </w:hyperlink>
    </w:p>
    <w:p>
      <w:pPr>
        <w:spacing w:after="0"/>
        <w:jc w:val="left"/>
        <w:ind w:left="1440" w:hanging="360"/>
      </w:pPr>
      <w:hyperlink w:anchor="NMCARS_5206.502">
        <w:r>
          <w:rPr>
            <w:rStyle w:val="Hyperlink"/>
            <w:rFonts w:ascii="Times New Roman" w:hAnsi="Times New Roman"/>
            <w:b w:val="false"/>
            <w:i w:val="false"/>
            <w:color w:val="0000ff"/>
            <w:sz w:val="22"/>
            <w:u w:val="single"/>
          </w:rPr>
          <w:t>5206.502 Duties and responsibilities.</w:t>
        </w:r>
      </w:hyperlink>
    </w:p>
    <!-- Created by docx4j 6.1.2 (Apache licensed) using REFERENCE JAXB in Oracle Java 15 on Linux -->
    <w:p>
      <w:pPr>
        <w:pStyle w:val="Heading2"/>
        <w:spacing w:after="180"/>
        <w:ind w:left="120"/>
        <w:jc w:val="center"/>
      </w:pPr>
      <w:bookmarkStart w:name="NMCARS_SUBPART_5206.2" w:id="1"/>
      <w:r>
        <w:rPr>
          <w:rFonts w:ascii="Times New Roman" w:hAnsi="Times New Roman"/>
          <w:color w:val="000000"/>
          <w:sz w:val="36"/>
        </w:rPr>
        <w:t>SUBPART 5206.2</w:t>
      </w:r>
      <w:r>
        <w:rPr>
          <w:rFonts w:ascii="Times New Roman" w:hAnsi="Times New Roman"/>
          <w:color w:val="000000"/>
          <w:sz w:val="36"/>
        </w:rPr>
        <w:t xml:space="preserve"> – FULL AND OPEN COMPETITION AFTER EXCLUSION OF SOURCES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202" w:id="2"/>
      <w:r>
        <w:rPr>
          <w:rFonts w:ascii="Times New Roman" w:hAnsi="Times New Roman"/>
          <w:color w:val="000000"/>
          <w:sz w:val="31"/>
        </w:rPr>
        <w:t>5206.202</w:t>
      </w:r>
      <w:r>
        <w:rPr>
          <w:rFonts w:ascii="Times New Roman" w:hAnsi="Times New Roman"/>
          <w:color w:val="000000"/>
          <w:sz w:val="31"/>
        </w:rPr>
        <w:t xml:space="preserve"> Establishing or maintaining alternative sources.</w:t>
      </w:r>
      <w:bookmarkEnd w:id="2"/>
    </w:p>
    <w:p>
      <w:pPr>
        <w:pBdr>
          <w:top w:space="5"/>
          <w:left w:space="5"/>
          <w:bottom w:space="5"/>
          <w:right w:space="5"/>
        </w:pBdr>
        <w:spacing w:after="0"/>
        <w:ind w:left="225"/>
        <w:jc w:val="left"/>
      </w:pPr>
      <w:r>
        <w:rPr>
          <w:rFonts w:ascii="Times New Roman" w:hAnsi="Times New Roman"/>
          <w:b w:val="false"/>
          <w:i w:val="false"/>
          <w:color w:val="000000"/>
          <w:sz w:val="22"/>
        </w:rPr>
        <w:t>(b)(1) Determination and Findings (D&amp;Fs) shall be signed as follows:</w:t>
      </w:r>
    </w:p>
    <w:p>
      <w:pPr>
        <w:pBdr>
          <w:top w:space="5"/>
          <w:left w:space="5"/>
          <w:bottom w:space="5"/>
          <w:right w:space="5"/>
        </w:pBdr>
        <w:spacing w:after="0"/>
        <w:ind w:left="585"/>
        <w:jc w:val="left"/>
      </w:pPr>
      <w:r>
        <w:rPr>
          <w:rFonts w:ascii="Times New Roman" w:hAnsi="Times New Roman"/>
          <w:b w:val="false"/>
          <w:i w:val="false"/>
          <w:color w:val="000000"/>
          <w:sz w:val="22"/>
        </w:rPr>
        <w:t>(i) For a proposed contract not exceeding the approval threshold at FAR 6.304(a)(3), the approval level is the HCA, or a designee who—</w:t>
      </w:r>
    </w:p>
    <w:p>
      <w:pPr>
        <w:pBdr>
          <w:top w:space="5"/>
          <w:left w:space="5"/>
          <w:bottom w:space="5"/>
          <w:right w:space="5"/>
        </w:pBdr>
        <w:spacing w:after="0"/>
        <w:ind w:left="945"/>
        <w:jc w:val="left"/>
      </w:pPr>
      <w:r>
        <w:rPr>
          <w:rFonts w:ascii="Times New Roman" w:hAnsi="Times New Roman"/>
          <w:b w:val="false"/>
          <w:i w:val="false"/>
          <w:color w:val="000000"/>
          <w:sz w:val="22"/>
        </w:rPr>
        <w:t>(A) If a member of the armed forces, is a general or flag officer; or</w:t>
      </w:r>
    </w:p>
    <w:p>
      <w:pPr>
        <w:pBdr>
          <w:top w:space="5"/>
          <w:left w:space="5"/>
          <w:bottom w:space="5"/>
          <w:right w:space="5"/>
        </w:pBdr>
        <w:spacing w:after="0"/>
        <w:ind w:left="945"/>
        <w:jc w:val="left"/>
      </w:pPr>
      <w:r>
        <w:rPr>
          <w:rFonts w:ascii="Times New Roman" w:hAnsi="Times New Roman"/>
          <w:b w:val="false"/>
          <w:i w:val="false"/>
          <w:color w:val="000000"/>
          <w:sz w:val="22"/>
        </w:rPr>
        <w:t>(B) If a civilian, is serving in a position in the Senior Executive Service (SES).</w:t>
      </w:r>
    </w:p>
    <w:p>
      <w:pPr>
        <w:pBdr>
          <w:top w:space="5"/>
          <w:left w:space="5"/>
          <w:bottom w:space="5"/>
          <w:right w:space="5"/>
        </w:pBdr>
        <w:spacing w:after="0"/>
        <w:ind w:left="585"/>
        <w:jc w:val="left"/>
      </w:pPr>
      <w:r>
        <w:rPr>
          <w:rFonts w:ascii="Times New Roman" w:hAnsi="Times New Roman"/>
          <w:b w:val="false"/>
          <w:i w:val="false"/>
          <w:color w:val="000000"/>
          <w:sz w:val="22"/>
        </w:rPr>
        <w:t xml:space="preserve">(ii) For a proposed contract exceeding the approval threshold at FAR 6.304(a)(4), the approval level is the NSPE. D&amp;Fs for NSPE approval shall be submitted with a copy of the approved AS, Streamlined Acquisition Plan (STRAP) or Management and Oversight Process for the Acquisition of Services – Streamlined (MOPAS-S) via DASN(P) by email at </w:t>
      </w:r>
      <w:hyperlink r:id="Rc81472e3528d4aa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6.202 - Establishing or Maintaining Alternative Sources.”</w:t>
      </w:r>
    </w:p>
    <!-- Created by docx4j 6.1.2 (Apache licensed) using REFERENCE JAXB in Oracle Java 15 on Linux -->
    <w:p>
      <w:pPr>
        <w:pStyle w:val="Heading2"/>
        <w:spacing w:after="180"/>
        <w:ind w:left="120"/>
        <w:jc w:val="center"/>
      </w:pPr>
      <w:bookmarkStart w:name="NMCARS_SUBPART_5206.3" w:id="3"/>
      <w:r>
        <w:rPr>
          <w:rFonts w:ascii="Times New Roman" w:hAnsi="Times New Roman"/>
          <w:color w:val="000000"/>
          <w:sz w:val="36"/>
        </w:rPr>
        <w:t>SUBPART 5206.3</w:t>
      </w:r>
      <w:r>
        <w:rPr>
          <w:rFonts w:ascii="Times New Roman" w:hAnsi="Times New Roman"/>
          <w:color w:val="000000"/>
          <w:sz w:val="36"/>
        </w:rPr>
        <w:t xml:space="preserve"> — OTHER THAN FULL AND OPEN COMPETITION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“Contract” refers to both contracts and orders issued under a Basic Ordering Agreement (BOA).</w:t>
      </w:r>
    </w:p>
    <w:p>
      <w:pPr>
        <w:pBdr>
          <w:top w:space="5"/>
          <w:left w:space="5"/>
          <w:bottom w:space="5"/>
          <w:right w:space="5"/>
        </w:pBdr>
        <w:spacing w:after="0"/>
        <w:ind w:left="225"/>
        <w:jc w:val="left"/>
      </w:pPr>
      <w:r>
        <w:rPr>
          <w:rFonts w:ascii="Times New Roman" w:hAnsi="Times New Roman"/>
          <w:b w:val="false"/>
          <w:i w:val="false"/>
          <w:color w:val="000000"/>
          <w:sz w:val="22"/>
        </w:rPr>
        <w:t>“New procurement work” means a requirement that is not authorized by the terms and conditions of an existing contract (e.g., a Congressional plus-up or Foreign Military Sale (FMS) provided by another country).</w:t>
      </w:r>
    </w:p>
    <!-- Created by docx4j 6.1.2 (Apache licensed) using REFERENCE JAXB in Oracle Java 15 on Linux -->
    <w:p>
      <w:pPr>
        <w:pStyle w:val="Heading3"/>
        <w:spacing w:after="199"/>
        <w:ind w:left="120"/>
        <w:jc w:val="left"/>
      </w:pPr>
      <w:bookmarkStart w:name="NMCARS_5206.302" w:id="4"/>
      <w:r>
        <w:rPr>
          <w:rFonts w:ascii="Times New Roman" w:hAnsi="Times New Roman"/>
          <w:color w:val="000000"/>
          <w:sz w:val="31"/>
        </w:rPr>
        <w:t>5206.302</w:t>
      </w:r>
      <w:r>
        <w:rPr>
          <w:rFonts w:ascii="Times New Roman" w:hAnsi="Times New Roman"/>
          <w:color w:val="000000"/>
          <w:sz w:val="31"/>
        </w:rPr>
        <w:t xml:space="preserve"> Circumstances permitting other than full and open competition.</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25" w:id="5"/>
      <w:r>
        <w:rPr>
          <w:rFonts w:ascii="Times New Roman" w:hAnsi="Times New Roman"/>
          <w:i w:val="false"/>
          <w:color w:val="000000"/>
          <w:sz w:val="24"/>
        </w:rPr>
        <w:t>5206.302-5</w:t>
      </w:r>
      <w:r>
        <w:rPr>
          <w:rFonts w:ascii="Times New Roman" w:hAnsi="Times New Roman"/>
          <w:i w:val="false"/>
          <w:color w:val="000000"/>
          <w:sz w:val="24"/>
        </w:rPr>
        <w:t xml:space="preserve"> Authorized or required by statute.</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Application</w:t>
      </w:r>
      <w:r>
        <w:rPr>
          <w:rFonts w:ascii="Times New Roman" w:hAnsi="Times New Roman"/>
          <w:b w:val="false"/>
          <w:i w:val="false"/>
          <w:color w:val="000000"/>
          <w:sz w:val="22"/>
        </w:rPr>
        <w:t>. Prior to awarding a SBIR/STTR Phase III contract, the Contracting Officer must affirm in the BCM that the SBIR/STTR Phase III award is derived from, extends, or completes efforts made under prior SBIR/STTR Phase I or II awards and is authorized pursuant to 15 U.S.C. 638(r)(4).</w:t>
      </w:r>
    </w:p>
    <!-- Created by docx4j 6.1.2 (Apache licensed) using REFERENCE JAXB in Oracle Java 15 on Linux -->
    <w:p>
      <w:pPr>
        <w:pStyle w:val="Heading3"/>
        <w:spacing w:after="199"/>
        <w:ind w:left="120"/>
        <w:jc w:val="left"/>
      </w:pPr>
      <w:bookmarkStart w:name="NMCARS_5206.303" w:id="6"/>
      <w:r>
        <w:rPr>
          <w:rFonts w:ascii="Times New Roman" w:hAnsi="Times New Roman"/>
          <w:color w:val="000000"/>
          <w:sz w:val="31"/>
        </w:rPr>
        <w:t>5206.303</w:t>
      </w:r>
      <w:r>
        <w:rPr>
          <w:rFonts w:ascii="Times New Roman" w:hAnsi="Times New Roman"/>
          <w:color w:val="000000"/>
          <w:sz w:val="31"/>
        </w:rPr>
        <w:t xml:space="preserve"> Justifications.</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31" w:id="7"/>
      <w:r>
        <w:rPr>
          <w:rFonts w:ascii="Times New Roman" w:hAnsi="Times New Roman"/>
          <w:i w:val="false"/>
          <w:color w:val="000000"/>
          <w:sz w:val="24"/>
        </w:rPr>
        <w:t>5206.303-1</w:t>
      </w:r>
      <w:r>
        <w:rPr>
          <w:rFonts w:ascii="Times New Roman" w:hAnsi="Times New Roman"/>
          <w:i w:val="false"/>
          <w:color w:val="000000"/>
          <w:sz w:val="24"/>
        </w:rPr>
        <w:t xml:space="preserve">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(a)(i) </w:t>
      </w:r>
      <w:r>
        <w:rPr>
          <w:rFonts w:ascii="Times New Roman" w:hAnsi="Times New Roman"/>
          <w:b w:val="false"/>
          <w:i/>
          <w:color w:val="000000"/>
          <w:sz w:val="22"/>
        </w:rPr>
        <w:t>Prior to contract award</w:t>
      </w:r>
      <w:r>
        <w:rPr>
          <w:rFonts w:ascii="Times New Roman" w:hAnsi="Times New Roman"/>
          <w:b w:val="false"/>
          <w:i w:val="false"/>
          <w:color w:val="000000"/>
          <w:sz w:val="22"/>
        </w:rPr>
        <w:t>. After a justification has been approved but prior to contract award, an amended justification may be submitted when new procurement work is identified and the authority remains unchanged from the original justification.</w:t>
      </w:r>
    </w:p>
    <w:p>
      <w:pPr>
        <w:pBdr>
          <w:top w:space="5"/>
          <w:left w:space="5"/>
          <w:bottom w:space="5"/>
          <w:right w:space="5"/>
        </w:pBdr>
        <w:spacing w:after="0"/>
        <w:ind w:left="945"/>
        <w:jc w:val="left"/>
      </w:pPr>
      <w:r>
        <w:rPr>
          <w:rFonts w:ascii="Times New Roman" w:hAnsi="Times New Roman"/>
          <w:b w:val="false"/>
          <w:i w:val="false"/>
          <w:color w:val="000000"/>
          <w:sz w:val="22"/>
        </w:rPr>
        <w:t>(1) Clearly identify the dollar increase and all new procurement work.</w:t>
      </w:r>
    </w:p>
    <w:p>
      <w:pPr>
        <w:pBdr>
          <w:top w:space="5"/>
          <w:left w:space="5"/>
          <w:bottom w:space="5"/>
          <w:right w:space="5"/>
        </w:pBdr>
        <w:spacing w:after="0"/>
        <w:ind w:left="945"/>
        <w:jc w:val="left"/>
      </w:pPr>
      <w:r>
        <w:rPr>
          <w:rFonts w:ascii="Times New Roman" w:hAnsi="Times New Roman"/>
          <w:b w:val="false"/>
          <w:i w:val="false"/>
          <w:color w:val="000000"/>
          <w:sz w:val="22"/>
        </w:rPr>
        <w:t>(2) If the revised total value of the amended justification exceeds the original justification’s approving authority, the contracting officer shall submit the amended justification to the appropriate approving authority based on the revised total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After contract award</w:t>
      </w:r>
      <w:r>
        <w:rPr>
          <w:rFonts w:ascii="Times New Roman" w:hAnsi="Times New Roman"/>
          <w:b w:val="false"/>
          <w:i w:val="false"/>
          <w:color w:val="000000"/>
          <w:sz w:val="22"/>
        </w:rPr>
        <w:t>. A new justification is required. New procurement work shall not commence until a new justification is approved unless authorized under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w:pPr>
        <w:pBdr>
          <w:top w:space="5"/>
          <w:left w:space="5"/>
          <w:bottom w:space="5"/>
          <w:right w:space="5"/>
        </w:pBdr>
        <w:spacing w:after="0"/>
        <w:ind w:left="585"/>
        <w:jc w:val="left"/>
      </w:pPr>
      <w:r>
        <w:rPr>
          <w:rFonts w:ascii="Times New Roman" w:hAnsi="Times New Roman"/>
          <w:b w:val="false"/>
          <w:i w:val="false"/>
          <w:color w:val="000000"/>
          <w:sz w:val="22"/>
        </w:rPr>
        <w:t>(A) May cover one or more contractors;</w:t>
      </w:r>
    </w:p>
    <w:p>
      <w:pPr>
        <w:pBdr>
          <w:top w:space="5"/>
          <w:left w:space="5"/>
          <w:bottom w:space="5"/>
          <w:right w:space="5"/>
        </w:pBdr>
        <w:spacing w:after="0"/>
        <w:ind w:left="585"/>
        <w:jc w:val="left"/>
      </w:pPr>
      <w:r>
        <w:rPr>
          <w:rFonts w:ascii="Times New Roman" w:hAnsi="Times New Roman"/>
          <w:b w:val="false"/>
          <w:i w:val="false"/>
          <w:color w:val="000000"/>
          <w:sz w:val="22"/>
        </w:rPr>
        <w:t>(B) May cover requirements solicited in successive fiscal years, provided the requirements and quantities are included in the justification, and their costs have been specifically identified.</w:t>
      </w:r>
    </w:p>
    <w:p>
      <w:pPr>
        <w:pBdr>
          <w:top w:space="5"/>
          <w:left w:space="5"/>
          <w:bottom w:space="5"/>
          <w:right w:space="5"/>
        </w:pBdr>
        <w:spacing w:after="0"/>
        <w:ind w:left="585"/>
        <w:jc w:val="left"/>
      </w:pPr>
      <w:r>
        <w:rPr>
          <w:rFonts w:ascii="Times New Roman" w:hAnsi="Times New Roman"/>
          <w:b w:val="false"/>
          <w:i w:val="false"/>
          <w:color w:val="000000"/>
          <w:sz w:val="22"/>
        </w:rPr>
        <w:t>(C) Shall include only those requirements that are, and will remain, sole or limited source for the period covered by the justification.</w:t>
      </w:r>
    </w:p>
    <w:p>
      <w:pPr>
        <w:pBdr>
          <w:top w:space="5"/>
          <w:left w:space="5"/>
          <w:bottom w:space="5"/>
          <w:right w:space="5"/>
        </w:pBdr>
        <w:spacing w:after="0"/>
        <w:ind w:left="585"/>
        <w:jc w:val="left"/>
      </w:pPr>
      <w:r>
        <w:rPr>
          <w:rFonts w:ascii="Times New Roman" w:hAnsi="Times New Roman"/>
          <w:b w:val="false"/>
          <w:i w:val="false"/>
          <w:color w:val="000000"/>
          <w:sz w:val="22"/>
        </w:rPr>
        <w:t>(D) May include, but is not limited to:</w:t>
      </w:r>
    </w:p>
    <w:p>
      <w:pPr>
        <w:pBdr>
          <w:top w:space="5"/>
          <w:left w:space="5"/>
          <w:bottom w:space="5"/>
          <w:right w:space="5"/>
        </w:pBdr>
        <w:spacing w:after="0"/>
        <w:ind w:left="945"/>
        <w:jc w:val="left"/>
      </w:pPr>
      <w:r>
        <w:rPr>
          <w:rFonts w:ascii="Times New Roman" w:hAnsi="Times New Roman"/>
          <w:b w:val="false"/>
          <w:i w:val="false"/>
          <w:color w:val="000000"/>
          <w:sz w:val="22"/>
        </w:rPr>
        <w:t>(i) A BOA and orders to be issued under it,</w:t>
      </w:r>
    </w:p>
    <w:p>
      <w:pPr>
        <w:pBdr>
          <w:top w:space="5"/>
          <w:left w:space="5"/>
          <w:bottom w:space="5"/>
          <w:right w:space="5"/>
        </w:pBdr>
        <w:spacing w:after="0"/>
        <w:ind w:left="945"/>
        <w:jc w:val="left"/>
      </w:pPr>
      <w:r>
        <w:rPr>
          <w:rFonts w:ascii="Times New Roman" w:hAnsi="Times New Roman"/>
          <w:b w:val="false"/>
          <w:i w:val="false"/>
          <w:color w:val="000000"/>
          <w:sz w:val="22"/>
        </w:rPr>
        <w:t>(ii) Consecutive years of production buys that may be solicited separately.</w:t>
      </w:r>
    </w:p>
    <w:p>
      <w:pPr>
        <w:pBdr>
          <w:top w:space="5"/>
          <w:left w:space="5"/>
          <w:bottom w:space="5"/>
          <w:right w:space="5"/>
        </w:pBdr>
        <w:spacing w:after="0"/>
        <w:ind w:left="945"/>
        <w:jc w:val="left"/>
      </w:pPr>
      <w:r>
        <w:rPr>
          <w:rFonts w:ascii="Times New Roman" w:hAnsi="Times New Roman"/>
          <w:b w:val="false"/>
          <w:i w:val="false"/>
          <w:color w:val="000000"/>
          <w:sz w:val="22"/>
        </w:rPr>
        <w:t>(iii) Multiple contracts to provide Government Furnished Equipment (GFE) for assembly into an end item.</w:t>
      </w:r>
    </w:p>
    <w:p>
      <w:pPr>
        <w:pBdr>
          <w:top w:space="5"/>
          <w:left w:space="5"/>
          <w:bottom w:space="5"/>
          <w:right w:space="5"/>
        </w:pBdr>
        <w:spacing w:after="0"/>
        <w:ind w:left="585"/>
        <w:jc w:val="left"/>
      </w:pPr>
      <w:r>
        <w:rPr>
          <w:rFonts w:ascii="Times New Roman" w:hAnsi="Times New Roman"/>
          <w:b w:val="false"/>
          <w:i w:val="false"/>
          <w:color w:val="000000"/>
          <w:sz w:val="22"/>
        </w:rP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w:pPr>
        <w:pBdr>
          <w:top w:space="5"/>
          <w:left w:space="5"/>
          <w:bottom w:space="5"/>
          <w:right w:space="5"/>
        </w:pBdr>
        <w:spacing w:after="0"/>
        <w:ind w:left="225"/>
        <w:jc w:val="left"/>
      </w:pPr>
      <w:r>
        <w:rPr>
          <w:rFonts w:ascii="Times New Roman" w:hAnsi="Times New Roman"/>
          <w:b w:val="false"/>
          <w:i w:val="false"/>
          <w:color w:val="000000"/>
          <w:sz w:val="22"/>
        </w:rPr>
        <w:t>(2) Issuance of a contract under FAR 16.5 does not require a class J&amp;A.</w:t>
      </w:r>
    </w:p>
    <w:p>
      <w:pPr>
        <w:pBdr>
          <w:top w:space="5"/>
          <w:left w:space="5"/>
          <w:bottom w:space="5"/>
          <w:right w:space="5"/>
        </w:pBdr>
        <w:spacing w:after="0"/>
        <w:ind w:left="225"/>
        <w:jc w:val="left"/>
      </w:pPr>
      <w:r>
        <w:rPr>
          <w:rFonts w:ascii="Times New Roman" w:hAnsi="Times New Roman"/>
          <w:b w:val="false"/>
          <w:i w:val="false"/>
          <w:color w:val="000000"/>
          <w:sz w:val="22"/>
        </w:rPr>
        <w:t>(S-90) Approval and Authorization for Bridge Contracts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Approval and authorization to award a bridge contract, a non-competitive contract awarded to “bridge” the time between the end of one contract and the beginning of another related contract, shall be obtained prior to requesting a J&amp;A. See Annex 4 for STRL deviations applicable hereto. Annex 5, Bridge Contract Approval and Reporting, contains the prescribed format for the request for approval. The approval authorities for bridge contract actions are:</w:t>
      </w:r>
    </w:p>
    <w:p>
      <w:pPr>
        <w:pBdr>
          <w:top w:space="5"/>
          <w:left w:space="5"/>
          <w:bottom w:space="5"/>
          <w:right w:space="5"/>
        </w:pBdr>
        <w:spacing w:after="0"/>
        <w:ind w:left="585"/>
        <w:jc w:val="left"/>
      </w:pPr>
      <w:r>
        <w:rPr>
          <w:rFonts w:ascii="Times New Roman" w:hAnsi="Times New Roman"/>
          <w:b w:val="false"/>
          <w:i w:val="false"/>
          <w:color w:val="000000"/>
          <w:sz w:val="22"/>
        </w:rPr>
        <w:t>(1) $700,000 or less - The Activity CCO</w:t>
      </w:r>
    </w:p>
    <w:p>
      <w:pPr>
        <w:pBdr>
          <w:top w:space="5"/>
          <w:left w:space="5"/>
          <w:bottom w:space="5"/>
          <w:right w:space="5"/>
        </w:pBdr>
        <w:spacing w:after="0"/>
        <w:ind w:left="585"/>
        <w:jc w:val="left"/>
      </w:pPr>
      <w:r>
        <w:rPr>
          <w:rFonts w:ascii="Times New Roman" w:hAnsi="Times New Roman"/>
          <w:b w:val="false"/>
          <w:i w:val="false"/>
          <w:color w:val="000000"/>
          <w:sz w:val="22"/>
        </w:rPr>
        <w:t>(2) Greater than or equal to $700,000 but less than $5,500,000 - Echelon I/II CCO</w:t>
      </w:r>
    </w:p>
    <w:p>
      <w:pPr>
        <w:pBdr>
          <w:top w:space="5"/>
          <w:left w:space="5"/>
          <w:bottom w:space="5"/>
          <w:right w:space="5"/>
        </w:pBdr>
        <w:spacing w:after="0"/>
        <w:ind w:left="585"/>
        <w:jc w:val="left"/>
      </w:pPr>
      <w:r>
        <w:rPr>
          <w:rFonts w:ascii="Times New Roman" w:hAnsi="Times New Roman"/>
          <w:b w:val="false"/>
          <w:i w:val="false"/>
          <w:color w:val="000000"/>
          <w:sz w:val="22"/>
        </w:rPr>
        <w:t>(3) Greater than or equal to $5,500,000 - HCA</w:t>
      </w:r>
    </w:p>
    <w:p>
      <w:pPr>
        <w:pBdr>
          <w:top w:space="5"/>
          <w:left w:space="5"/>
          <w:bottom w:space="5"/>
          <w:right w:space="5"/>
        </w:pBdr>
        <w:spacing w:after="0"/>
        <w:ind w:left="225"/>
        <w:jc w:val="left"/>
      </w:pPr>
      <w:r>
        <w:rPr>
          <w:rFonts w:ascii="Times New Roman" w:hAnsi="Times New Roman"/>
          <w:b w:val="false"/>
          <w:i w:val="false"/>
          <w:color w:val="000000"/>
          <w:sz w:val="22"/>
        </w:rPr>
        <w:t>(b) For the purposes of approving bridge contracts, HCAs designated as an Echelon III command shall have the same approval authority as those designated as an Echelon II command.</w:t>
      </w:r>
    </w:p>
    <w:p>
      <w:pPr>
        <w:pBdr>
          <w:top w:space="5"/>
          <w:left w:space="5"/>
          <w:bottom w:space="5"/>
          <w:right w:space="5"/>
        </w:pBdr>
        <w:spacing w:after="0"/>
        <w:ind w:left="225"/>
        <w:jc w:val="left"/>
      </w:pPr>
      <w:r>
        <w:rPr>
          <w:rFonts w:ascii="Times New Roman" w:hAnsi="Times New Roman"/>
          <w:b w:val="false"/>
          <w:i w:val="false"/>
          <w:color w:val="000000"/>
          <w:sz w:val="22"/>
        </w:rPr>
        <w:t>(c) This approval authority is only delegable one level.</w:t>
      </w:r>
    </w:p>
    <w:p>
      <w:pPr>
        <w:pBdr>
          <w:top w:space="5"/>
          <w:left w:space="5"/>
          <w:bottom w:space="5"/>
          <w:right w:space="5"/>
        </w:pBdr>
        <w:spacing w:after="0"/>
        <w:ind w:left="225"/>
        <w:jc w:val="left"/>
      </w:pPr>
      <w:r>
        <w:rPr>
          <w:rFonts w:ascii="Times New Roman" w:hAnsi="Times New Roman"/>
          <w:b w:val="false"/>
          <w:i w:val="false"/>
          <w:color w:val="000000"/>
          <w:sz w:val="22"/>
        </w:rPr>
        <w:t>(d) Once approval to award a bridge contract is obtained, a J&amp;A for other than full and open competition shall also be approved in accordance with FAR 6.303/6.304 and DFARS</w:t>
      </w:r>
    </w:p>
    <w:p>
      <w:pPr>
        <w:pBdr>
          <w:top w:space="5"/>
          <w:left w:space="5"/>
          <w:bottom w:space="5"/>
          <w:right w:space="5"/>
        </w:pBdr>
        <w:spacing w:after="0"/>
        <w:ind w:left="225"/>
        <w:jc w:val="left"/>
      </w:pPr>
      <w:r>
        <w:rPr>
          <w:rFonts w:ascii="Times New Roman" w:hAnsi="Times New Roman"/>
          <w:b w:val="false"/>
          <w:i w:val="false"/>
          <w:color w:val="000000"/>
          <w:sz w:val="22"/>
        </w:rPr>
        <w:t>206.303/206.304. If approval of the J&amp;A negates consideration under SeaPort, see 5206.304 and 5206.305. This applies if the contract for which a bridge is being sought would have been considered for transition to SeaPort but for the bridge.</w:t>
      </w:r>
    </w:p>
    <!-- Created by docx4j 6.1.2 (Apache licensed) using REFERENCE JAXB in Oracle Java 15 on Linux -->
    <w:p>
      <w:pPr>
        <w:pStyle w:val="Heading4"/>
        <w:spacing w:after="269"/>
        <w:ind w:left="120"/>
        <w:jc w:val="left"/>
      </w:pPr>
      <w:bookmarkStart w:name="NMCARS_5206.3032" w:id="8"/>
      <w:r>
        <w:rPr>
          <w:rFonts w:ascii="Times New Roman" w:hAnsi="Times New Roman"/>
          <w:i w:val="false"/>
          <w:color w:val="000000"/>
          <w:sz w:val="24"/>
        </w:rPr>
        <w:t>5206.303-2</w:t>
      </w:r>
      <w:r>
        <w:rPr>
          <w:rFonts w:ascii="Times New Roman" w:hAnsi="Times New Roman"/>
          <w:i w:val="false"/>
          <w:color w:val="000000"/>
          <w:sz w:val="24"/>
        </w:rPr>
        <w:t xml:space="preserve"> Content.</w:t>
      </w:r>
      <w:bookmarkEnd w:id="8"/>
    </w:p>
    <w:p>
      <w:pPr>
        <w:pBdr>
          <w:top w:space="5"/>
          <w:left w:space="5"/>
          <w:bottom w:space="5"/>
          <w:right w:space="5"/>
        </w:pBdr>
        <w:spacing w:after="0"/>
        <w:ind w:left="225"/>
        <w:jc w:val="left"/>
      </w:pPr>
      <w:r>
        <w:rPr>
          <w:rFonts w:ascii="Times New Roman" w:hAnsi="Times New Roman"/>
          <w:b w:val="false"/>
          <w:i w:val="false"/>
          <w:color w:val="000000"/>
          <w:sz w:val="22"/>
        </w:rPr>
        <w:t>(b)(3) The total estimated dollar value for each acquisition covered by the justification, identified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(9)(ii) Address the requirements at both FAR 6.302-1(a)(2)(ii) and (a)(2)(iii) as shown in Annex 1.</w:t>
      </w:r>
    </w:p>
    <w:p>
      <w:pPr>
        <w:pBdr>
          <w:top w:space="5"/>
          <w:left w:space="5"/>
          <w:bottom w:space="5"/>
          <w:right w:space="5"/>
        </w:pBdr>
        <w:spacing w:after="0"/>
        <w:ind w:left="585"/>
        <w:jc w:val="left"/>
      </w:pPr>
      <w:r>
        <w:rPr>
          <w:rFonts w:ascii="Times New Roman" w:hAnsi="Times New Roman"/>
          <w:b w:val="false"/>
          <w:i w:val="false"/>
          <w:color w:val="000000"/>
          <w:sz w:val="22"/>
        </w:rPr>
        <w:t>(iv) The period of performance for each proposed acquisition.</w:t>
      </w:r>
    </w:p>
    <w:p>
      <w:pPr>
        <w:pBdr>
          <w:top w:space="5"/>
          <w:left w:space="5"/>
          <w:bottom w:space="5"/>
          <w:right w:space="5"/>
        </w:pBdr>
        <w:spacing w:after="0"/>
        <w:ind w:left="585"/>
        <w:jc w:val="left"/>
      </w:pPr>
      <w:r>
        <w:rPr>
          <w:rFonts w:ascii="Times New Roman" w:hAnsi="Times New Roman"/>
          <w:b w:val="false"/>
          <w:i w:val="false"/>
          <w:color w:val="000000"/>
          <w:sz w:val="22"/>
        </w:rPr>
        <w:t>(v) If the justification is a class justification, an expiration date expressed as a calendar date.</w:t>
      </w:r>
    </w:p>
    <w:p>
      <w:pPr>
        <w:pBdr>
          <w:top w:space="5"/>
          <w:left w:space="5"/>
          <w:bottom w:space="5"/>
          <w:right w:space="5"/>
        </w:pBdr>
        <w:spacing w:after="0"/>
        <w:ind w:left="225"/>
        <w:jc w:val="left"/>
      </w:pPr>
      <w:r>
        <w:rPr>
          <w:rFonts w:ascii="Times New Roman" w:hAnsi="Times New Roman"/>
          <w:b w:val="false"/>
          <w:i w:val="false"/>
          <w:color w:val="000000"/>
          <w:sz w:val="22"/>
        </w:rPr>
        <w:t>(11) If this is a follow-on to a previously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w:pPr>
        <w:pBdr>
          <w:top w:space="5"/>
          <w:left w:space="5"/>
          <w:bottom w:space="5"/>
          <w:right w:space="5"/>
        </w:pBdr>
        <w:spacing w:after="0"/>
        <w:ind w:left="225"/>
        <w:jc w:val="left"/>
      </w:pPr>
      <w:r>
        <w:rPr>
          <w:rFonts w:ascii="Times New Roman" w:hAnsi="Times New Roman"/>
          <w:b w:val="false"/>
          <w:i w:val="false"/>
          <w:color w:val="000000"/>
          <w:sz w:val="22"/>
        </w:rPr>
        <w:t>(S-90) Format.</w:t>
      </w:r>
    </w:p>
    <w:p>
      <w:pPr>
        <w:pBdr>
          <w:top w:space="5"/>
          <w:left w:space="5"/>
          <w:bottom w:space="5"/>
          <w:right w:space="5"/>
        </w:pBdr>
        <w:spacing w:after="0"/>
        <w:ind w:left="585"/>
        <w:jc w:val="left"/>
      </w:pPr>
      <w:r>
        <w:rPr>
          <w:rFonts w:ascii="Times New Roman" w:hAnsi="Times New Roman"/>
          <w:b w:val="false"/>
          <w:i w:val="false"/>
          <w:color w:val="000000"/>
          <w:sz w:val="22"/>
        </w:rPr>
        <w:t>(a) The required format for a justification is at Annex 1.</w:t>
      </w:r>
    </w:p>
    <!-- Created by docx4j 6.1.2 (Apache licensed) using REFERENCE JAXB in Oracle Java 15 on Linux -->
    <w:p>
      <w:pPr>
        <w:pStyle w:val="Heading4"/>
        <w:spacing w:after="269"/>
        <w:ind w:left="120"/>
        <w:jc w:val="left"/>
      </w:pPr>
      <w:bookmarkStart w:name="NMCARS_5206.30390" w:id="9"/>
      <w:r>
        <w:rPr>
          <w:rFonts w:ascii="Times New Roman" w:hAnsi="Times New Roman"/>
          <w:i w:val="false"/>
          <w:color w:val="000000"/>
          <w:sz w:val="24"/>
        </w:rPr>
        <w:t>5206.303-90</w:t>
      </w:r>
      <w:r>
        <w:rPr>
          <w:rFonts w:ascii="Times New Roman" w:hAnsi="Times New Roman"/>
          <w:i w:val="false"/>
          <w:color w:val="000000"/>
          <w:sz w:val="24"/>
        </w:rPr>
        <w:t xml:space="preserve"> Legal reviews.</w:t>
      </w:r>
      <w:bookmarkEnd w:id="9"/>
    </w:p>
    <w:p>
      <w:pPr>
        <w:pBdr>
          <w:top w:space="5"/>
          <w:left w:space="5"/>
          <w:bottom w:space="5"/>
          <w:right w:space="5"/>
        </w:pBdr>
        <w:spacing w:after="0"/>
        <w:ind w:left="225"/>
        <w:jc w:val="left"/>
      </w:pPr>
      <w:r>
        <w:rPr>
          <w:rFonts w:ascii="Times New Roman" w:hAnsi="Times New Roman"/>
          <w:b w:val="false"/>
          <w:i w:val="false"/>
          <w:color w:val="000000"/>
          <w:sz w:val="22"/>
        </w:rP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w:pPr>
        <w:pBdr>
          <w:top w:space="5"/>
          <w:left w:space="5"/>
          <w:bottom w:space="5"/>
          <w:right w:space="5"/>
        </w:pBdr>
        <w:spacing w:after="0"/>
        <w:ind w:left="225"/>
        <w:jc w:val="left"/>
      </w:pPr>
      <w:r>
        <w:rPr>
          <w:rFonts w:ascii="Times New Roman" w:hAnsi="Times New Roman"/>
          <w:b w:val="false"/>
          <w:i w:val="false"/>
          <w:color w:val="000000"/>
          <w:sz w:val="22"/>
        </w:rPr>
        <w:t>(b) A legal sufficiency review shall be obtained on the appropriateness of the addition of any new procurement work to a contract prior to its addition.</w:t>
      </w:r>
    </w:p>
    <w:p>
      <w:pPr>
        <w:pBdr>
          <w:top w:space="5"/>
          <w:left w:space="5"/>
          <w:bottom w:space="5"/>
          <w:right w:space="5"/>
        </w:pBdr>
        <w:spacing w:after="0"/>
        <w:ind w:left="225"/>
        <w:jc w:val="left"/>
      </w:pPr>
      <w:r>
        <w:rPr>
          <w:rFonts w:ascii="Times New Roman" w:hAnsi="Times New Roman"/>
          <w:b w:val="false"/>
          <w:i w:val="false"/>
          <w:color w:val="000000"/>
          <w:sz w:val="22"/>
        </w:rPr>
        <w:t>5206.303-91 Bridge Contract Status Update.</w:t>
      </w:r>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22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22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22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1" w:id="10"/>
      <w:r>
        <w:rPr>
          <w:rFonts w:ascii="Times New Roman" w:hAnsi="Times New Roman"/>
          <w:i w:val="false"/>
          <w:color w:val="000000"/>
          <w:sz w:val="24"/>
        </w:rPr>
        <w:t>5206.303-91</w:t>
      </w:r>
      <w:r>
        <w:rPr>
          <w:rFonts w:ascii="Times New Roman" w:hAnsi="Times New Roman"/>
          <w:i w:val="false"/>
          <w:color w:val="000000"/>
          <w:sz w:val="24"/>
        </w:rPr>
        <w:t xml:space="preserve"> Bridge Contract Status Update.</w:t>
      </w:r>
      <w:bookmarkEnd w:id="10"/>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2" w:id="11"/>
      <w:r>
        <w:rPr>
          <w:rFonts w:ascii="Times New Roman" w:hAnsi="Times New Roman"/>
          <w:i w:val="false"/>
          <w:color w:val="000000"/>
          <w:sz w:val="24"/>
        </w:rPr>
        <w:t>5206.303-92</w:t>
      </w:r>
      <w:r>
        <w:rPr>
          <w:rFonts w:ascii="Times New Roman" w:hAnsi="Times New Roman"/>
          <w:i w:val="false"/>
          <w:color w:val="000000"/>
          <w:sz w:val="24"/>
        </w:rPr>
        <w:t xml:space="preserve"> Bridge Contract Reporting.</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Data on bridge contract use shall be reported by HCAs to DASN(P). Reports shall be submitted 30 days after the end of each quarter, in the format prescribed by Annex 5. The required Excel file for reporting can be found on the ASN(RDA) website. Negative reports are required. Reports shall be submitted via email to </w:t>
      </w:r>
      <w:hyperlink r:id="R4e7650e6432140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5206.303-92 - Bridge Contract Report by [Command Name]”.</w:t>
      </w:r>
    </w:p>
    <!-- Created by docx4j 6.1.2 (Apache licensed) using REFERENCE JAXB in Oracle Java 15 on Linux -->
    <w:p>
      <w:pPr>
        <w:pStyle w:val="Heading3"/>
        <w:spacing w:after="199"/>
        <w:ind w:left="120"/>
        <w:jc w:val="left"/>
      </w:pPr>
      <w:bookmarkStart w:name="NMCARS_5206.304" w:id="12"/>
      <w:r>
        <w:rPr>
          <w:rFonts w:ascii="Times New Roman" w:hAnsi="Times New Roman"/>
          <w:color w:val="000000"/>
          <w:sz w:val="31"/>
        </w:rPr>
        <w:t>5206.304</w:t>
      </w:r>
      <w:r>
        <w:rPr>
          <w:rFonts w:ascii="Times New Roman" w:hAnsi="Times New Roman"/>
          <w:color w:val="000000"/>
          <w:sz w:val="31"/>
        </w:rPr>
        <w:t xml:space="preserve"> Approval of the justification.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(a)(S-90) Notwithstanding FAR 6.304, DFARS 206.304, the HCA is designated as the approval authority for justifications of 8(a) sole source awards exceeding $100 million. HCA authority may be delegated to the Deputy/Assistant Commander for Contracts, without power of redelegation.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(a)(1) For contract actions that would negate the use of SeaPort, the justification shall be approved by the advocate for competition for the procuring activity.</w:t>
      </w:r>
    </w:p>
    <w:p>
      <w:pPr>
        <w:pBdr>
          <w:top w:space="5"/>
          <w:left w:space="5"/>
          <w:bottom w:space="5"/>
          <w:right w:space="5"/>
        </w:pBdr>
        <w:spacing w:after="0"/>
        <w:ind w:left="585"/>
        <w:jc w:val="left"/>
      </w:pPr>
      <w:r>
        <w:rPr>
          <w:rFonts w:ascii="Times New Roman" w:hAnsi="Times New Roman"/>
          <w:b w:val="false"/>
          <w:i w:val="false"/>
          <w:color w:val="000000"/>
          <w:sz w:val="22"/>
        </w:rPr>
        <w:t>(2) DON activities with contracting authority in excess of $700,000 may be considered “procuring activities” solely for the purpose of enabling their competition advocate to exercise this approval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(4) Justifications for ASN(RDA) approval must be submitted via DASN(P) by email at </w:t>
      </w:r>
      <w:hyperlink r:id="R90375f3e08564e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206.304(a)(4) – J&amp;A Approval – Other Than Full and Open Competition”. The signature page shall be submitted electronically as a .pdf file. The body of the justification shall be submitted electronically as both Word and .pdf files.</w:t>
      </w:r>
    </w:p>
    <w:p>
      <w:pPr>
        <w:pBdr>
          <w:top w:space="5"/>
          <w:left w:space="5"/>
          <w:bottom w:space="5"/>
          <w:right w:space="5"/>
        </w:pBdr>
        <w:spacing w:after="0"/>
        <w:ind w:left="945"/>
        <w:jc w:val="left"/>
      </w:pPr>
      <w:r>
        <w:rPr>
          <w:rFonts w:ascii="Times New Roman" w:hAnsi="Times New Roman"/>
          <w:b w:val="false"/>
          <w:i w:val="false"/>
          <w:color w:val="000000"/>
          <w:sz w:val="22"/>
        </w:rPr>
        <w:t>(i) The applicable Acquisition Strategy (or STRAP or MOPAS-S if no Acquisition 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p>
    <w:p>
      <w:pPr>
        <w:pBdr>
          <w:top w:space="5"/>
          <w:left w:space="5"/>
          <w:bottom w:space="5"/>
          <w:right w:space="5"/>
        </w:pBdr>
        <w:spacing w:after="0"/>
        <w:ind w:left="945"/>
        <w:jc w:val="left"/>
      </w:pPr>
      <w:r>
        <w:rPr>
          <w:rFonts w:ascii="Times New Roman" w:hAnsi="Times New Roman"/>
          <w:b w:val="false"/>
          <w:i w:val="false"/>
          <w:color w:val="000000"/>
          <w:sz w:val="22"/>
        </w:rPr>
        <w:t>(ii) Historic justification information shall be submitted with the proposed justification.</w:t>
      </w:r>
    </w:p>
    <!-- Created by docx4j 6.1.2 (Apache licensed) using REFERENCE JAXB in Oracle Java 15 on Linux -->
    <w:p>
      <w:pPr>
        <w:pStyle w:val="Heading3"/>
        <w:spacing w:after="199"/>
        <w:ind w:left="120"/>
        <w:jc w:val="left"/>
      </w:pPr>
      <w:bookmarkStart w:name="NMCARS_5206.305" w:id="13"/>
      <w:r>
        <w:rPr>
          <w:rFonts w:ascii="Times New Roman" w:hAnsi="Times New Roman"/>
          <w:color w:val="000000"/>
          <w:sz w:val="31"/>
        </w:rPr>
        <w:t>5206.305</w:t>
      </w:r>
      <w:r>
        <w:rPr>
          <w:rFonts w:ascii="Times New Roman" w:hAnsi="Times New Roman"/>
          <w:color w:val="000000"/>
          <w:sz w:val="31"/>
        </w:rPr>
        <w:t xml:space="preserve"> Availability of the justification.</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(S-90) In addition to the requirements at FAR 6.305 and DFARS 206.305, no solicitation shall be issued earlier than three (3) business days after the HCA forwards a copy of any approved justification which negates the use of SeaPort. The approved justification shall be submitted to DASN(P) by email at </w:t>
      </w:r>
      <w:hyperlink r:id="R9523c51ed5a645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Justification Negating the Use of SeaPort.” The only exception to this is if the circumstances at FAR 6.302-2, apply. That justification shall be submitted not later than two (2) business days after its approval.</w:t>
      </w:r>
    </w:p>
    <!-- Created by docx4j 6.1.2 (Apache licensed) using REFERENCE JAXB in Oracle Java 15 on Linux -->
    <w:p>
      <w:pPr>
        <w:pStyle w:val="Heading2"/>
        <w:spacing w:after="180"/>
        <w:ind w:left="120"/>
        <w:jc w:val="center"/>
      </w:pPr>
      <w:bookmarkStart w:name="NMCARS_SUBPART_5206.5" w:id="14"/>
      <w:r>
        <w:rPr>
          <w:rFonts w:ascii="Times New Roman" w:hAnsi="Times New Roman"/>
          <w:color w:val="000000"/>
          <w:sz w:val="36"/>
        </w:rPr>
        <w:t>SUBPART 5206.5</w:t>
      </w:r>
      <w:r>
        <w:rPr>
          <w:rFonts w:ascii="Times New Roman" w:hAnsi="Times New Roman"/>
          <w:color w:val="000000"/>
          <w:sz w:val="36"/>
        </w:rPr>
        <w:t xml:space="preserve"> — COMPETITION ADVOCATES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501" w:id="15"/>
      <w:r>
        <w:rPr>
          <w:rFonts w:ascii="Times New Roman" w:hAnsi="Times New Roman"/>
          <w:color w:val="000000"/>
          <w:sz w:val="31"/>
        </w:rPr>
        <w:t>5206.501</w:t>
      </w:r>
      <w:r>
        <w:rPr>
          <w:rFonts w:ascii="Times New Roman" w:hAnsi="Times New Roman"/>
          <w:color w:val="000000"/>
          <w:sz w:val="31"/>
        </w:rPr>
        <w:t xml:space="preserve"> Requirement.</w:t>
      </w:r>
      <w:bookmarkEnd w:id="15"/>
    </w:p>
    <w:p>
      <w:pPr>
        <w:pBdr>
          <w:top w:space="5"/>
          <w:left w:space="5"/>
          <w:bottom w:space="5"/>
          <w:right w:space="5"/>
        </w:pBdr>
        <w:spacing w:after="0"/>
        <w:ind w:left="225"/>
        <w:jc w:val="left"/>
      </w:pPr>
      <w:r>
        <w:rPr>
          <w:rFonts w:ascii="Times New Roman" w:hAnsi="Times New Roman"/>
          <w:b w:val="false"/>
          <w:i w:val="false"/>
          <w:color w:val="000000"/>
          <w:sz w:val="22"/>
        </w:rPr>
        <w:t>DASN(P) is designated the Competition Advocate General of the Navy. HCAs shall appoint competition advocates for their respective contracting activities.</w:t>
      </w:r>
    </w:p>
    <!-- Created by docx4j 6.1.2 (Apache licensed) using REFERENCE JAXB in Oracle Java 15 on Linux -->
    <w:p>
      <w:pPr>
        <w:pStyle w:val="Heading3"/>
        <w:spacing w:after="199"/>
        <w:ind w:left="120"/>
        <w:jc w:val="left"/>
      </w:pPr>
      <w:bookmarkStart w:name="NMCARS_5206.502" w:id="16"/>
      <w:r>
        <w:rPr>
          <w:rFonts w:ascii="Times New Roman" w:hAnsi="Times New Roman"/>
          <w:color w:val="000000"/>
          <w:sz w:val="31"/>
        </w:rPr>
        <w:t>5206.502</w:t>
      </w:r>
      <w:r>
        <w:rPr>
          <w:rFonts w:ascii="Times New Roman" w:hAnsi="Times New Roman"/>
          <w:color w:val="000000"/>
          <w:sz w:val="31"/>
        </w:rPr>
        <w:t xml:space="preserve"> Duties and responsibilities.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(b)(2) The annual competition report shall be submitted via DASN(P) by January 31st of each year by email at </w:t>
      </w:r>
      <w:hyperlink r:id="Rc979c089f2b640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6.502(b) Annual Competition Report.”</w:t>
      </w:r>
    </w:p>
    <w:p>
      <w:pPr>
        <w:pBdr>
          <w:top w:space="5"/>
          <w:left w:space="5"/>
          <w:bottom w:space="5"/>
          <w:right w:space="5"/>
        </w:pBdr>
        <w:spacing w:after="0"/>
        <w:ind w:left="585"/>
        <w:jc w:val="left"/>
      </w:pPr>
      <w:r>
        <w:rPr>
          <w:rFonts w:ascii="Times New Roman" w:hAnsi="Times New Roman"/>
          <w:b w:val="false"/>
          <w:i w:val="false"/>
          <w:color w:val="000000"/>
          <w:sz w:val="22"/>
        </w:rPr>
        <w:t>(S-90) Competition advocates shall also:</w:t>
      </w:r>
    </w:p>
    <w:p>
      <w:pPr>
        <w:pBdr>
          <w:top w:space="5"/>
          <w:left w:space="5"/>
          <w:bottom w:space="5"/>
          <w:right w:space="5"/>
        </w:pBdr>
        <w:spacing w:after="0"/>
        <w:ind w:left="945"/>
        <w:jc w:val="left"/>
      </w:pPr>
      <w:r>
        <w:rPr>
          <w:rFonts w:ascii="Times New Roman" w:hAnsi="Times New Roman"/>
          <w:b w:val="false"/>
          <w:i w:val="false"/>
          <w:color w:val="000000"/>
          <w:sz w:val="22"/>
        </w:rPr>
        <w:t>(1) Act as the primary focal points to assist members of the private sector regarding their expressed concerns or complaints in reference to the manner of application or lack of application of competition in the acquisition process; and</w:t>
      </w:r>
    </w:p>
    <w:p>
      <w:pPr>
        <w:pBdr>
          <w:top w:space="5"/>
          <w:left w:space="5"/>
          <w:bottom w:space="5"/>
          <w:right w:space="5"/>
        </w:pBdr>
        <w:spacing w:after="0"/>
        <w:ind w:left="945"/>
        <w:jc w:val="left"/>
      </w:pPr>
      <w:r>
        <w:rPr>
          <w:rFonts w:ascii="Times New Roman" w:hAnsi="Times New Roman"/>
          <w:b w:val="false"/>
          <w:i w:val="false"/>
          <w:color w:val="000000"/>
          <w:sz w:val="22"/>
        </w:rPr>
        <w:t>(2) Take appropriate action to ensure that valid complaints from the private sector are resolved in a fair and timely manner.</w:t>
      </w:r>
    </w:p>
    <w:sectPr>
      <w:pgSz w:w="12240" w:h="15840" w:code="1"/>
      <w:pgMar w:top="1440" w:right="1440" w:bottom="1440" w:left="1440"/>
      <w:pgNumType w:start="1"/>
      <w:footerReference w:type="default" r:id="Rc220c4730533480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220c47305334802" /><Relationship Type="http://schemas.openxmlformats.org/officeDocument/2006/relationships/hyperlink" Target="SUBPART_5206.2.dita#NMCARS_SUBPART_5206.2" TargetMode="External" Id="R28cf48e84fa54f03" /><Relationship Type="http://schemas.openxmlformats.org/officeDocument/2006/relationships/hyperlink" Target="5206.202.dita#NMCARS_5206.202" TargetMode="External" Id="R4d9a336fcbf4407c" /><Relationship Type="http://schemas.openxmlformats.org/officeDocument/2006/relationships/hyperlink" Target="SUBPART_5206.3.dita#NMCARS_SUBPART_5206.3" TargetMode="External" Id="Rd39fd2e727654950" /><Relationship Type="http://schemas.openxmlformats.org/officeDocument/2006/relationships/hyperlink" Target="5206.302.dita#NMCARS_5206.302" TargetMode="External" Id="R03caf12b983b4978" /><Relationship Type="http://schemas.openxmlformats.org/officeDocument/2006/relationships/hyperlink" Target="5206.3025.dita#NMCARS_5206.3025" TargetMode="External" Id="Rc3dfe82e7a4b4939" /><Relationship Type="http://schemas.openxmlformats.org/officeDocument/2006/relationships/hyperlink" Target="5206.303.dita#NMCARS_5206.303" TargetMode="External" Id="R328c42cc41ee491f" /><Relationship Type="http://schemas.openxmlformats.org/officeDocument/2006/relationships/hyperlink" Target="5206.3031.dita#NMCARS_5206.3031" TargetMode="External" Id="R6042d9e952d142de" /><Relationship Type="http://schemas.openxmlformats.org/officeDocument/2006/relationships/hyperlink" Target="5206.3032.dita#NMCARS_5206.3032" TargetMode="External" Id="R19922f3dc00c4783" /><Relationship Type="http://schemas.openxmlformats.org/officeDocument/2006/relationships/hyperlink" Target="5206.30390.dita#NMCARS_5206.30390" TargetMode="External" Id="Re00c15dd64374865" /><Relationship Type="http://schemas.openxmlformats.org/officeDocument/2006/relationships/hyperlink" Target="5206.30391.dita#NMCARS_5206.30391" TargetMode="External" Id="R82e2b7bf8eb24fce" /><Relationship Type="http://schemas.openxmlformats.org/officeDocument/2006/relationships/hyperlink" Target="5206.30392.dita#NMCARS_5206.30392" TargetMode="External" Id="Ra85045d622884f70" /><Relationship Type="http://schemas.openxmlformats.org/officeDocument/2006/relationships/hyperlink" Target="5206.304.dita#NMCARS_5206.304" TargetMode="External" Id="Rc475e51d07ac40bc" /><Relationship Type="http://schemas.openxmlformats.org/officeDocument/2006/relationships/hyperlink" Target="5206.305.dita#NMCARS_5206.305" TargetMode="External" Id="Ra293209373ec41f3" /><Relationship Type="http://schemas.openxmlformats.org/officeDocument/2006/relationships/hyperlink" Target="SUBPART_5206.5.dita#NMCARS_SUBPART_5206.5" TargetMode="External" Id="Ra442863126134bab" /><Relationship Type="http://schemas.openxmlformats.org/officeDocument/2006/relationships/hyperlink" Target="5206.501.dita#NMCARS_5206.501" TargetMode="External" Id="Recf1aec997b1417f" /><Relationship Type="http://schemas.openxmlformats.org/officeDocument/2006/relationships/hyperlink" Target="5206.502.dita#NMCARS_5206.502" TargetMode="External" Id="R2466650d02c049c7" /><Relationship Type="http://schemas.openxmlformats.org/officeDocument/2006/relationships/hyperlink" Target="mailto:RDAJ&amp;As.fct@navy.mil" TargetMode="External" Id="Rc81472e3528d4aa8" /><Relationship Type="http://schemas.openxmlformats.org/officeDocument/2006/relationships/hyperlink" Target="mailto:seniorservicesmanage.fct@navy.mil" TargetMode="External" Id="R4e7650e6432140ff" /><Relationship Type="http://schemas.openxmlformats.org/officeDocument/2006/relationships/hyperlink" Target="mailto:RDAJ&amp;As.fct@navy.mil" TargetMode="External" Id="R90375f3e08564ec8" /><Relationship Type="http://schemas.openxmlformats.org/officeDocument/2006/relationships/hyperlink" Target="mailto:SeniorServicesManage.fct@navy.mil" TargetMode="External" Id="R9523c51ed5a64531" /><Relationship Type="http://schemas.openxmlformats.org/officeDocument/2006/relationships/hyperlink" Target="mailto:RDAJ&amp;As.fct@navy.mil" TargetMode="External" Id="Rc979c089f2b640e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