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12" w:id="0"/>
      <w:r>
        <w:rPr>
          <w:rFonts w:ascii="Times New Roman" w:hAnsi="Times New Roman"/>
          <w:color w:val="000000"/>
          <w:sz w:val="48"/>
        </w:rPr>
        <w:t>PART 5212</w:t>
      </w:r>
      <w:r>
        <w:rPr>
          <w:rFonts w:ascii="Times New Roman" w:hAnsi="Times New Roman"/>
          <w:color w:val="000000"/>
          <w:sz w:val="48"/>
        </w:rPr>
        <w:t xml:space="preserve"> ACQUISITION OF COMMERCIAL ITEMS</w:t>
      </w:r>
      <w:bookmarkEnd w:id="0"/>
    </w:p>
    <w:p>
      <w:pPr>
        <w:spacing w:after="0"/>
        <w:jc w:val="left"/>
        <w:ind w:left="720" w:hanging="360"/>
      </w:pPr>
      <w:hyperlink w:anchor="NMCARS_SUBPART_5212.1">
        <w:r>
          <w:rPr>
            <w:rStyle w:val="Hyperlink"/>
            <w:rFonts w:ascii="Times New Roman" w:hAnsi="Times New Roman"/>
            <w:b w:val="false"/>
            <w:i w:val="false"/>
            <w:color w:val="0000ff"/>
            <w:sz w:val="22"/>
            <w:u w:val="single"/>
          </w:rPr>
          <w:t>SUBPART 5212.1 — ACQUISITION OF COMMERCIAL ITEMS – GENERAL</w:t>
        </w:r>
      </w:hyperlink>
    </w:p>
    <w:p>
      <w:pPr>
        <w:spacing w:after="0"/>
        <w:jc w:val="left"/>
        <w:ind w:left="1440" w:hanging="360"/>
      </w:pPr>
      <w:hyperlink w:anchor="NMCARS_5212.102">
        <w:r>
          <w:rPr>
            <w:rStyle w:val="Hyperlink"/>
            <w:rFonts w:ascii="Times New Roman" w:hAnsi="Times New Roman"/>
            <w:b w:val="false"/>
            <w:i w:val="false"/>
            <w:color w:val="0000ff"/>
            <w:sz w:val="22"/>
            <w:u w:val="single"/>
          </w:rPr>
          <w:t>5212.102 Applicability.</w:t>
        </w:r>
      </w:hyperlink>
    </w:p>
    <w:p>
      <w:pPr>
        <w:spacing w:after="0"/>
        <w:jc w:val="left"/>
        <w:ind w:left="720" w:hanging="360"/>
      </w:pPr>
      <w:hyperlink w:anchor="NMCARS_SUBPART_5212.2">
        <w:r>
          <w:rPr>
            <w:rStyle w:val="Hyperlink"/>
            <w:rFonts w:ascii="Times New Roman" w:hAnsi="Times New Roman"/>
            <w:b w:val="false"/>
            <w:i w:val="false"/>
            <w:color w:val="0000ff"/>
            <w:sz w:val="22"/>
            <w:u w:val="single"/>
          </w:rPr>
          <w:t>SUBPART 5212.2 — SPECIAL REQUIREMENTS FOR THE ACQUISITION OF COMMERCIAL ITEMS</w:t>
        </w:r>
      </w:hyperlink>
    </w:p>
    <w:p>
      <w:pPr>
        <w:spacing w:after="0"/>
        <w:jc w:val="left"/>
        <w:ind w:left="1440" w:hanging="360"/>
      </w:pPr>
      <w:hyperlink w:anchor="NMCARS_5212.207">
        <w:r>
          <w:rPr>
            <w:rStyle w:val="Hyperlink"/>
            <w:rFonts w:ascii="Times New Roman" w:hAnsi="Times New Roman"/>
            <w:b w:val="false"/>
            <w:i w:val="false"/>
            <w:color w:val="0000ff"/>
            <w:sz w:val="22"/>
            <w:u w:val="single"/>
          </w:rPr>
          <w:t>5212.207 Contract type.</w:t>
        </w:r>
      </w:hyperlink>
    </w:p>
    <w:p>
      <w:pPr>
        <w:spacing w:after="0"/>
        <w:jc w:val="left"/>
        <w:ind w:left="720" w:hanging="360"/>
      </w:pPr>
      <w:hyperlink w:anchor="NMCARS_SUBPART_5212.3">
        <w:r>
          <w:rPr>
            <w:rStyle w:val="Hyperlink"/>
            <w:rFonts w:ascii="Times New Roman" w:hAnsi="Times New Roman"/>
            <w:b w:val="false"/>
            <w:i w:val="false"/>
            <w:color w:val="0000ff"/>
            <w:sz w:val="22"/>
            <w:u w:val="single"/>
          </w:rPr>
          <w:t>SUBPART 5212.3 — SOLICITATION PROVISIONS AND CLAUSES FOR THE ACQUISITION OF COMMERCIAL ITEMS</w:t>
        </w:r>
      </w:hyperlink>
    </w:p>
    <w:p>
      <w:pPr>
        <w:spacing w:after="0"/>
        <w:jc w:val="left"/>
        <w:ind w:left="1440" w:hanging="360"/>
      </w:pPr>
      <w:hyperlink w:anchor="NMCARS_5212.302">
        <w:r>
          <w:rPr>
            <w:rStyle w:val="Hyperlink"/>
            <w:rFonts w:ascii="Times New Roman" w:hAnsi="Times New Roman"/>
            <w:b w:val="false"/>
            <w:i w:val="false"/>
            <w:color w:val="0000ff"/>
            <w:sz w:val="22"/>
            <w:u w:val="single"/>
          </w:rPr>
          <w:t>5212.302 Tailoring of provisions and clauses for the acquisition of commercial items.</w:t>
        </w:r>
      </w:hyperlink>
    </w:p>
    <w:p>
      <w:pPr>
        <w:spacing w:after="0"/>
        <w:jc w:val="left"/>
        <w:ind w:left="720" w:hanging="360"/>
      </w:pPr>
      <w:hyperlink w:anchor="NMCARS_SUBPART_5212.4">
        <w:r>
          <w:rPr>
            <w:rStyle w:val="Hyperlink"/>
            <w:rFonts w:ascii="Times New Roman" w:hAnsi="Times New Roman"/>
            <w:b w:val="false"/>
            <w:i w:val="false"/>
            <w:color w:val="0000ff"/>
            <w:sz w:val="22"/>
            <w:u w:val="single"/>
          </w:rPr>
          <w:t>SUBPART 5212.4 — CONTRACT ADMINISTRATION AND AUDIT SERVICES</w:t>
        </w:r>
      </w:hyperlink>
    </w:p>
    <w:p>
      <w:pPr>
        <w:spacing w:after="0"/>
        <w:jc w:val="left"/>
        <w:ind w:left="1440" w:hanging="360"/>
      </w:pPr>
      <w:hyperlink w:anchor="NMCARS_5212.403">
        <w:r>
          <w:rPr>
            <w:rStyle w:val="Hyperlink"/>
            <w:rFonts w:ascii="Times New Roman" w:hAnsi="Times New Roman"/>
            <w:b w:val="false"/>
            <w:i w:val="false"/>
            <w:color w:val="0000ff"/>
            <w:sz w:val="22"/>
            <w:u w:val="single"/>
          </w:rPr>
          <w:t>5212.403 Termination</w:t>
        </w:r>
      </w:hyperlink>
    </w:p>
    <w:p>
      <w:pPr>
        <w:spacing w:after="0"/>
        <w:jc w:val="left"/>
        <w:ind w:left="720" w:hanging="360"/>
      </w:pPr>
      <w:hyperlink w:anchor="NMCARS_SUBPART_5212.70">
        <w:r>
          <w:rPr>
            <w:rStyle w:val="Hyperlink"/>
            <w:rFonts w:ascii="Times New Roman" w:hAnsi="Times New Roman"/>
            <w:b w:val="false"/>
            <w:i w:val="false"/>
            <w:color w:val="0000ff"/>
            <w:sz w:val="22"/>
            <w:u w:val="single"/>
          </w:rPr>
          <w:t>SUBPART 5212.70 --- LIMITATION ON CONVERSION OF PROCUREMENT FROM COMMERCIAL ACQUISITION PROCEDURES</w:t>
        </w:r>
      </w:hyperlink>
    </w:p>
    <w:p>
      <w:pPr>
        <w:spacing w:after="0"/>
        <w:jc w:val="left"/>
        <w:ind w:left="1440" w:hanging="360"/>
      </w:pPr>
      <w:hyperlink w:anchor="NMCARS_5212.7001">
        <w:r>
          <w:rPr>
            <w:rStyle w:val="Hyperlink"/>
            <w:rFonts w:ascii="Times New Roman" w:hAnsi="Times New Roman"/>
            <w:b w:val="false"/>
            <w:i w:val="false"/>
            <w:color w:val="0000ff"/>
            <w:sz w:val="22"/>
            <w:u w:val="single"/>
          </w:rPr>
          <w:t>5212.7001 Procedures</w:t>
        </w:r>
      </w:hyperlink>
    </w:p>
    <!-- Created by docx4j 6.1.2 (Apache licensed) using REFERENCE JAXB in Oracle Java 15 on Linux -->
    <w:p>
      <w:pPr>
        <w:pStyle w:val="Heading2"/>
        <w:spacing w:after="180"/>
        <w:ind w:left="120"/>
        <w:jc w:val="center"/>
      </w:pPr>
      <w:bookmarkStart w:name="NMCARS_SUBPART_5212.1" w:id="1"/>
      <w:r>
        <w:rPr>
          <w:rFonts w:ascii="Times New Roman" w:hAnsi="Times New Roman"/>
          <w:color w:val="000000"/>
          <w:sz w:val="36"/>
        </w:rPr>
        <w:t>SUBPART 5212.1</w:t>
      </w:r>
      <w:r>
        <w:rPr>
          <w:rFonts w:ascii="Times New Roman" w:hAnsi="Times New Roman"/>
          <w:color w:val="000000"/>
          <w:sz w:val="36"/>
        </w:rPr>
        <w:t xml:space="preserve"> — ACQUISITION OF COMMERCIAL ITEMS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102" w:id="2"/>
      <w:r>
        <w:rPr>
          <w:rFonts w:ascii="Times New Roman" w:hAnsi="Times New Roman"/>
          <w:color w:val="000000"/>
          <w:sz w:val="31"/>
        </w:rPr>
        <w:t>5212.102</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f2d606bc1c0d4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 Created by docx4j 6.1.2 (Apache licensed) using REFERENCE JAXB in Oracle Java 15 on Linux -->
    <w:p>
      <w:pPr>
        <w:pStyle w:val="Heading2"/>
        <w:spacing w:after="180"/>
        <w:ind w:left="120"/>
        <w:jc w:val="center"/>
      </w:pPr>
      <w:bookmarkStart w:name="NMCARS_SUBPART_5212.2" w:id="3"/>
      <w:r>
        <w:rPr>
          <w:rFonts w:ascii="Times New Roman" w:hAnsi="Times New Roman"/>
          <w:color w:val="000000"/>
          <w:sz w:val="36"/>
        </w:rPr>
        <w:t>SUBPART 5212.2</w:t>
      </w:r>
      <w:r>
        <w:rPr>
          <w:rFonts w:ascii="Times New Roman" w:hAnsi="Times New Roman"/>
          <w:color w:val="000000"/>
          <w:sz w:val="36"/>
        </w:rPr>
        <w:t xml:space="preserve"> — SPECIAL REQUIREMENTS FOR THE ACQUISITION OF COMMERCIAL ITEMS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207" w:id="4"/>
      <w:r>
        <w:rPr>
          <w:rFonts w:ascii="Times New Roman" w:hAnsi="Times New Roman"/>
          <w:color w:val="000000"/>
          <w:sz w:val="31"/>
        </w:rPr>
        <w:t>5212.207</w:t>
      </w:r>
      <w:r>
        <w:rPr>
          <w:rFonts w:ascii="Times New Roman" w:hAnsi="Times New Roman"/>
          <w:color w:val="000000"/>
          <w:sz w:val="31"/>
        </w:rPr>
        <w:t xml:space="preserve"> Contract type.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(b)(iii) Submit the required contracting officer determination for agency head approval to DASN(P) with a copy of the approved AS, STRAP, or MOPAS-S by email at </w:t>
      </w:r>
      <w:hyperlink r:id="R4245ef22b0c740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212.207(b)(iii) - D&amp;F to Use T&amp;M/LH Contract Type for Commercial Services.”</w:t>
      </w:r>
    </w:p>
    <!-- Created by docx4j 6.1.2 (Apache licensed) using REFERENCE JAXB in Oracle Java 15 on Linux -->
    <w:p>
      <w:pPr>
        <w:pStyle w:val="Heading2"/>
        <w:spacing w:after="180"/>
        <w:ind w:left="120"/>
        <w:jc w:val="center"/>
      </w:pPr>
      <w:bookmarkStart w:name="NMCARS_SUBPART_5212.3" w:id="5"/>
      <w:r>
        <w:rPr>
          <w:rFonts w:ascii="Times New Roman" w:hAnsi="Times New Roman"/>
          <w:color w:val="000000"/>
          <w:sz w:val="36"/>
        </w:rPr>
        <w:t>SUBPART 5212.3</w:t>
      </w:r>
      <w:r>
        <w:rPr>
          <w:rFonts w:ascii="Times New Roman" w:hAnsi="Times New Roman"/>
          <w:color w:val="000000"/>
          <w:sz w:val="36"/>
        </w:rPr>
        <w:t xml:space="preserve"> — SOLICITATION PROVISIONS AND CLAUSES FOR THE ACQUISITION OF COMMERCIAL ITEMS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302" w:id="6"/>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f6156aab18f440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 Created by docx4j 6.1.2 (Apache licensed) using REFERENCE JAXB in Oracle Java 15 on Linux -->
    <w:p>
      <w:pPr>
        <w:pStyle w:val="Heading2"/>
        <w:spacing w:after="180"/>
        <w:ind w:left="120"/>
        <w:jc w:val="center"/>
      </w:pPr>
      <w:bookmarkStart w:name="NMCARS_SUBPART_5212.4" w:id="7"/>
      <w:r>
        <w:rPr>
          <w:rFonts w:ascii="Times New Roman" w:hAnsi="Times New Roman"/>
          <w:color w:val="000000"/>
          <w:sz w:val="36"/>
        </w:rPr>
        <w:t>SUBPART 5212.4</w:t>
      </w:r>
      <w:r>
        <w:rPr>
          <w:rFonts w:ascii="Times New Roman" w:hAnsi="Times New Roman"/>
          <w:color w:val="000000"/>
          <w:sz w:val="36"/>
        </w:rPr>
        <w:t xml:space="preserve"> — CONTRACT ADMINISTRATION AND AUDIT SERVICES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403" w:id="8"/>
      <w:r>
        <w:rPr>
          <w:rFonts w:ascii="Times New Roman" w:hAnsi="Times New Roman"/>
          <w:color w:val="000000"/>
          <w:sz w:val="31"/>
        </w:rPr>
        <w:t>5212.403</w:t>
      </w:r>
      <w:r>
        <w:rPr>
          <w:rFonts w:ascii="Times New Roman" w:hAnsi="Times New Roman"/>
          <w:color w:val="000000"/>
          <w:sz w:val="31"/>
        </w:rPr>
        <w:t xml:space="preserve"> Termination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(c)(4)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ed963020553e40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12.403(c)(4) – Termination for Cause” followed by the contract number”.</w:t>
      </w:r>
    </w:p>
    <!-- Created by docx4j 6.1.2 (Apache licensed) using REFERENCE JAXB in Oracle Java 15 on Linux -->
    <w:p>
      <w:pPr>
        <w:pStyle w:val="Heading2"/>
        <w:spacing w:after="180"/>
        <w:ind w:left="120"/>
        <w:jc w:val="center"/>
      </w:pPr>
      <w:bookmarkStart w:name="NMCARS_SUBPART_5212.70" w:id="9"/>
      <w:r>
        <w:rPr>
          <w:rFonts w:ascii="Times New Roman" w:hAnsi="Times New Roman"/>
          <w:color w:val="000000"/>
          <w:sz w:val="36"/>
        </w:rPr>
        <w:t>SUBPART 5212.70 ---</w:t>
      </w:r>
      <w:r>
        <w:rPr>
          <w:rFonts w:ascii="Times New Roman" w:hAnsi="Times New Roman"/>
          <w:color w:val="000000"/>
          <w:sz w:val="36"/>
        </w:rPr>
        <w:t xml:space="preserve"> LIMITATION ON CONVERSION OF PROCUREMENT FROM COMMERCIAL ACQUISITION PROCEDURES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7001" w:id="10"/>
      <w:r>
        <w:rPr>
          <w:rFonts w:ascii="Times New Roman" w:hAnsi="Times New Roman"/>
          <w:color w:val="000000"/>
          <w:sz w:val="31"/>
        </w:rPr>
        <w:t>5212.7001</w:t>
      </w:r>
      <w:r>
        <w:rPr>
          <w:rFonts w:ascii="Times New Roman" w:hAnsi="Times New Roman"/>
          <w:color w:val="000000"/>
          <w:sz w:val="31"/>
        </w:rPr>
        <w:t xml:space="preserv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(a)(2) Copies of HCA determinations submitted to Defense Pricing and Contracting (DPC) shall be submitted to DASN(P) by email at </w:t>
      </w:r>
      <w:hyperlink r:id="R48cbaa81d60149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212.7001(a)(2) HCA Determination for Conversion of a Procurement from Commercial Acquisition Procedures.”</w:t>
      </w:r>
    </w:p>
    <w:sectPr>
      <w:pgSz w:w="12240" w:h="15840" w:code="1"/>
      <w:pgMar w:top="1440" w:right="1440" w:bottom="1440" w:left="1440"/>
      <w:pgNumType w:start="1"/>
      <w:footerReference w:type="default" r:id="R8088045243954eb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088045243954eb7" /><Relationship Type="http://schemas.openxmlformats.org/officeDocument/2006/relationships/hyperlink" Target="SUBPART_5212.1.dita#NMCARS_SUBPART_5212.1" TargetMode="External" Id="Rf0f6cf0fc99d419e" /><Relationship Type="http://schemas.openxmlformats.org/officeDocument/2006/relationships/hyperlink" Target="5212.102.dita#NMCARS_5212.102" TargetMode="External" Id="R2ac7ac8c74fb4f7e" /><Relationship Type="http://schemas.openxmlformats.org/officeDocument/2006/relationships/hyperlink" Target="SUBPART_5212.2.dita#NMCARS_SUBPART_5212.2" TargetMode="External" Id="R8e4bb5e3f2d24209" /><Relationship Type="http://schemas.openxmlformats.org/officeDocument/2006/relationships/hyperlink" Target="5212.207.dita#NMCARS_5212.207" TargetMode="External" Id="Red5870a6831d4421" /><Relationship Type="http://schemas.openxmlformats.org/officeDocument/2006/relationships/hyperlink" Target="SUBPART_5212.3.dita#NMCARS_SUBPART_5212.3" TargetMode="External" Id="Re22a89ad9a044283" /><Relationship Type="http://schemas.openxmlformats.org/officeDocument/2006/relationships/hyperlink" Target="5212.302.dita#NMCARS_5212.302" TargetMode="External" Id="R17523c9fd70d48b8" /><Relationship Type="http://schemas.openxmlformats.org/officeDocument/2006/relationships/hyperlink" Target="SUBPART_5212.4.dita#NMCARS_SUBPART_5212.4" TargetMode="External" Id="Rb95407210f0045f3" /><Relationship Type="http://schemas.openxmlformats.org/officeDocument/2006/relationships/hyperlink" Target="5212.403.dita#NMCARS_5212.403" TargetMode="External" Id="R49d7d4c11f554673" /><Relationship Type="http://schemas.openxmlformats.org/officeDocument/2006/relationships/hyperlink" Target="SUBPART_5212.70.dita#NMCARS_SUBPART_5212.70" TargetMode="External" Id="R9e06ceee84f243fd" /><Relationship Type="http://schemas.openxmlformats.org/officeDocument/2006/relationships/hyperlink" Target="5212.7001.dita#NMCARS_5212.7001" TargetMode="External" Id="R65ba5b65145c4aeb" /><Relationship Type="http://schemas.openxmlformats.org/officeDocument/2006/relationships/hyperlink" Target="mailto:RDAJ&amp;As.fct@navy.mil" TargetMode="External" Id="Rf2d606bc1c0d4007" /><Relationship Type="http://schemas.openxmlformats.org/officeDocument/2006/relationships/hyperlink" Target="mailto:Rdaj&amp;as.fct@navy.mil" TargetMode="External" Id="R4245ef22b0c740fd" /><Relationship Type="http://schemas.openxmlformats.org/officeDocument/2006/relationships/hyperlink" Target="mailto:Rdaj&amp;as.fct@navy.mil" TargetMode="External" Id="Rf6156aab18f440aa" /><Relationship Type="http://schemas.openxmlformats.org/officeDocument/2006/relationships/hyperlink" Target="mailto:aio@navy.mil" TargetMode="External" Id="Red963020553e403b" /><Relationship Type="http://schemas.openxmlformats.org/officeDocument/2006/relationships/hyperlink" Target="mailto:RDAJ&amp;As.fct@navy.mil" TargetMode="External" Id="R48cbaa81d60149c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