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16" w:id="0"/>
      <w:r>
        <w:rPr>
          <w:rFonts w:ascii="Times New Roman" w:hAnsi="Times New Roman"/>
          <w:color w:val="000000"/>
        </w:rPr>
        <w:t>PART 5216</w:t>
      </w:r>
      <w:r>
        <w:rPr>
          <w:rFonts w:ascii="Times New Roman" w:hAnsi="Times New Roman"/>
          <w:color w:val="000000"/>
        </w:rPr>
        <w:t xml:space="preserve"> TYPES OF CONTRACTS</w:t>
      </w:r>
      <w:bookmarkEnd w:id="0"/>
    </w:p>
    <w:p>
      <w:pPr>
        <w:spacing w:after="0"/>
        <w:jc w:val="left"/>
        <w:ind w:left="720" w:hanging="360"/>
      </w:pPr>
      <w:hyperlink w:anchor="NMCARS_SUBPART_5216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5216.2 — FIXED–PRICE CONTRACTS</w:t>
        </w:r>
      </w:hyperlink>
    </w:p>
    <w:p>
      <w:pPr>
        <w:spacing w:after="0"/>
        <w:jc w:val="left"/>
        <w:ind w:left="1440" w:hanging="360"/>
      </w:pPr>
      <w:hyperlink w:anchor="NMCARS_5216.202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5216.202-90 Firm–fixed–price contracts.</w:t>
        </w:r>
      </w:hyperlink>
    </w:p>
    <w:p>
      <w:pPr>
        <w:spacing w:after="0"/>
        <w:jc w:val="left"/>
        <w:ind w:left="720" w:hanging="360"/>
      </w:pPr>
      <w:hyperlink w:anchor="NMCARS_SUBPART_5216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5216.3 — COST–REIMBURSEMENT CONTRACTS</w:t>
        </w:r>
      </w:hyperlink>
    </w:p>
    <w:p>
      <w:pPr>
        <w:spacing w:after="0"/>
        <w:jc w:val="left"/>
        <w:ind w:left="1440" w:hanging="360"/>
      </w:pPr>
      <w:hyperlink w:anchor="NMCARS_5216.3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5216.306 Cost–plus–fixed–fee contracts.</w:t>
        </w:r>
      </w:hyperlink>
    </w:p>
    <w:p>
      <w:pPr>
        <w:spacing w:after="0"/>
        <w:jc w:val="left"/>
        <w:ind w:left="720" w:hanging="360"/>
      </w:pPr>
      <w:hyperlink w:anchor="NMCARS_SUBPART_5216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5216.4 — INCENTIVE CONTRACTS</w:t>
        </w:r>
      </w:hyperlink>
    </w:p>
    <w:p>
      <w:pPr>
        <w:spacing w:after="0"/>
        <w:jc w:val="left"/>
        <w:ind w:left="1440" w:hanging="360"/>
      </w:pPr>
      <w:hyperlink w:anchor="NMCARS_5216.4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5216.401 General.</w:t>
        </w:r>
      </w:hyperlink>
    </w:p>
    <w:p>
      <w:pPr>
        <w:spacing w:after="0"/>
        <w:jc w:val="left"/>
        <w:ind w:left="720" w:hanging="360"/>
      </w:pPr>
      <w:hyperlink w:anchor="NMCARS_SUBPART_5216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5216.5 — INDEFINITE–DELIVERY CONTRACTS</w:t>
        </w:r>
      </w:hyperlink>
    </w:p>
    <w:p>
      <w:pPr>
        <w:spacing w:after="0"/>
        <w:jc w:val="left"/>
        <w:ind w:left="1440" w:hanging="360"/>
      </w:pPr>
      <w:hyperlink w:anchor="NMCARS_5216.5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5216.504 Indefinite–quantity contracts.</w:t>
        </w:r>
      </w:hyperlink>
    </w:p>
    <w:p>
      <w:pPr>
        <w:spacing w:after="0"/>
        <w:jc w:val="left"/>
        <w:ind w:left="1440" w:hanging="360"/>
      </w:pPr>
      <w:hyperlink w:anchor="NMCARS_5216.5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5216.505 Ordering.</w:t>
        </w:r>
      </w:hyperlink>
    </w:p>
    <w:p>
      <w:pPr>
        <w:spacing w:after="0"/>
        <w:jc w:val="left"/>
        <w:ind w:left="1440" w:hanging="360"/>
      </w:pPr>
      <w:hyperlink w:anchor="NMCARS_5216.5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5216.506 Solicitation provisions and contract clauses.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6.2" w:id="1"/>
      <w:r>
        <w:rPr>
          <w:rFonts w:ascii="Times New Roman" w:hAnsi="Times New Roman"/>
          <w:color w:val="000000"/>
          <w:sz w:val="36"/>
        </w:rPr>
        <w:t>SUBPART 5216.2</w:t>
      </w:r>
      <w:r>
        <w:rPr>
          <w:rFonts w:ascii="Times New Roman" w:hAnsi="Times New Roman"/>
          <w:color w:val="000000"/>
          <w:sz w:val="36"/>
        </w:rPr>
        <w:t xml:space="preserve"> — FIXED–PRICE CONTRACTS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20290" w:id="2"/>
      <w:r>
        <w:rPr>
          <w:rFonts w:ascii="Times New Roman" w:hAnsi="Times New Roman"/>
          <w:color w:val="000000"/>
          <w:sz w:val="31"/>
        </w:rPr>
        <w:t>5216.202-90</w:t>
      </w:r>
      <w:r>
        <w:rPr>
          <w:rFonts w:ascii="Times New Roman" w:hAnsi="Times New Roman"/>
          <w:color w:val="000000"/>
          <w:sz w:val="31"/>
        </w:rPr>
        <w:t xml:space="preserve"> Firm–fixed–price contracts.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Consultation with DPC is required prior to the use of a firm-fixed-price (FFP) contract for a sole source acquisition with a value greater than $500 million for U.S. or combined U.S./FMS requirements for a major system as defined in FAR 2.101. This consultation should use the Peer Review process provided at NMCARS 5201.170. The HCA shall notify DASN(P) by email at </w:t>
      </w:r>
      <w:hyperlink r:id="Redc1ef0e5a5746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Consultation with DPC for a FFP Contract over $500M" seven days prior to requesting the review from DPC.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6.3" w:id="3"/>
      <w:r>
        <w:rPr>
          <w:rFonts w:ascii="Times New Roman" w:hAnsi="Times New Roman"/>
          <w:color w:val="000000"/>
          <w:sz w:val="36"/>
        </w:rPr>
        <w:t>SUBPART 5216.3</w:t>
      </w:r>
      <w:r>
        <w:rPr>
          <w:rFonts w:ascii="Times New Roman" w:hAnsi="Times New Roman"/>
          <w:color w:val="000000"/>
          <w:sz w:val="36"/>
        </w:rPr>
        <w:t xml:space="preserve"> — COST–REIMBURSEMENT CONTRACTS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306" w:id="4"/>
      <w:r>
        <w:rPr>
          <w:rFonts w:ascii="Times New Roman" w:hAnsi="Times New Roman"/>
          <w:color w:val="000000"/>
          <w:sz w:val="31"/>
        </w:rPr>
        <w:t>5216.306</w:t>
      </w:r>
      <w:r>
        <w:rPr>
          <w:rFonts w:ascii="Times New Roman" w:hAnsi="Times New Roman"/>
          <w:color w:val="000000"/>
          <w:sz w:val="31"/>
        </w:rPr>
        <w:t xml:space="preserve"> Cost–plus–fixed–fee contracts.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Limitations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(ii)(A) COMNAVFAC is delegated authority to approve cost-plus-fixed-fee (CPFF) contracts for environmental work only, provided the environmental work is not classified as construction, as defined by 10 U.S.C. 2801.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Requests for approval of CPFF contracts requiring SECDEF approval shall be routed through NAVFACENGCOM and then via DASN(P) by email at </w:t>
      </w:r>
      <w:hyperlink r:id="R78e501536c90466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216.306 – CPFF Contract Approval.”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6.4" w:id="5"/>
      <w:r>
        <w:rPr>
          <w:rFonts w:ascii="Times New Roman" w:hAnsi="Times New Roman"/>
          <w:color w:val="000000"/>
          <w:sz w:val="36"/>
        </w:rPr>
        <w:t>SUBPART 5216.4</w:t>
      </w:r>
      <w:r>
        <w:rPr>
          <w:rFonts w:ascii="Times New Roman" w:hAnsi="Times New Roman"/>
          <w:color w:val="000000"/>
          <w:sz w:val="36"/>
        </w:rPr>
        <w:t xml:space="preserve"> — INCENTIVE CONTRACTS</w:t>
      </w:r>
      <w:bookmarkEnd w:id="5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401" w:id="6"/>
      <w:r>
        <w:rPr>
          <w:rFonts w:ascii="Times New Roman" w:hAnsi="Times New Roman"/>
          <w:color w:val="000000"/>
          <w:sz w:val="31"/>
        </w:rPr>
        <w:t>5216.401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6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(d)(i)(A) HCAs shall submit copies of approved D&amp;Fs to DASN(P) by email at </w:t>
      </w:r>
      <w:hyperlink r:id="R21d09d96b603419e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16.401 – HCA CPAF D&amp;F [ACAT Program Designation Number and Description]”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(d)(ii) This D&amp;F signature authority is delegable to no lower than the Deputy/Assistant Commander for Contracts.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6.5" w:id="7"/>
      <w:r>
        <w:rPr>
          <w:rFonts w:ascii="Times New Roman" w:hAnsi="Times New Roman"/>
          <w:color w:val="000000"/>
          <w:sz w:val="36"/>
        </w:rPr>
        <w:t>SUBPART 5216.5</w:t>
      </w:r>
      <w:r>
        <w:rPr>
          <w:rFonts w:ascii="Times New Roman" w:hAnsi="Times New Roman"/>
          <w:color w:val="000000"/>
          <w:sz w:val="36"/>
        </w:rPr>
        <w:t xml:space="preserve"> — INDEFINITE–DELIVERY CONTRACTS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504" w:id="8"/>
      <w:r>
        <w:rPr>
          <w:rFonts w:ascii="Times New Roman" w:hAnsi="Times New Roman"/>
          <w:color w:val="000000"/>
          <w:sz w:val="31"/>
        </w:rPr>
        <w:t>5216.504</w:t>
      </w:r>
      <w:r>
        <w:rPr>
          <w:rFonts w:ascii="Times New Roman" w:hAnsi="Times New Roman"/>
          <w:color w:val="000000"/>
          <w:sz w:val="31"/>
        </w:rPr>
        <w:t xml:space="preserve"> Indefinite–quantity contracts.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 Planning the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(ii)(D)(1) Except for the determination under FAR 16.504(c)(1)(ii)(D)(1)(iv), the Deputy/Assistant Commander for Contracts, without power of redelegation, is the approval authority. See Annex 4 for STRL deviations applicable 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DASN(P), without power of redelegation, is the approval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HCAs shall submit the body of the D&amp;F, in the format required by Annex 7, Section 843 D&amp;F, electronically as both Word and .pdf files with a copy of the approved AS, STRAP, or MOPAS-S by email at </w:t>
      </w:r>
      <w:hyperlink r:id="R42bd821ae45e4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216.504 – D&amp;F for Single Award [contract/task/delivery order number]”.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505" w:id="9"/>
      <w:r>
        <w:rPr>
          <w:rFonts w:ascii="Times New Roman" w:hAnsi="Times New Roman"/>
          <w:color w:val="000000"/>
          <w:sz w:val="31"/>
        </w:rPr>
        <w:t>5216.505</w:t>
      </w:r>
      <w:r>
        <w:rPr>
          <w:rFonts w:ascii="Times New Roman" w:hAnsi="Times New Roman"/>
          <w:color w:val="000000"/>
          <w:sz w:val="31"/>
        </w:rPr>
        <w:t xml:space="preserve"> Ordering.</w:t>
      </w:r>
      <w:bookmarkEnd w:id="9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(b)(8) DASN(P) as the Navy Competition Advocate General, is the task-order and delivery-order ombudsman. Contact information is provided at 5216.506(j).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(c) See Annex 4 for STRL deviations applicable hereto.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506" w:id="10"/>
      <w:r>
        <w:rPr>
          <w:rFonts w:ascii="Times New Roman" w:hAnsi="Times New Roman"/>
          <w:color w:val="000000"/>
          <w:sz w:val="31"/>
        </w:rPr>
        <w:t>5216.506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  <w:bookmarkEnd w:id="1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(j) The Navy task and delivery order ombudsman is Ms. Cindy Shaver, Deputy Assistant Secretary of the Navy (Procurement), 1000 Navy Pentagon, Washington, DC 20350, phone (703) 614-9600, fax (703) 614-9394, and email NCAG@navy.mil.</w:t>
      </w:r>
    </w:p>
    <w:sectPr>
      <w:pgSz w:w="12240" w:h="15840" w:code="1"/>
      <w:pgMar w:top="1440" w:right="1440" w:bottom="1440" w:left="1440"/>
      <w:pgNumType w:start="1"/>
      <w:footerReference w:type="default" r:id="R037541a2a8a448f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37541a2a8a448f1" /><Relationship Type="http://schemas.openxmlformats.org/officeDocument/2006/relationships/hyperlink" Target="SUBPART_5216.2.dita#NMCARS_SUBPART_5216.2" TargetMode="External" Id="R5b5b6f03520849bd" /><Relationship Type="http://schemas.openxmlformats.org/officeDocument/2006/relationships/hyperlink" Target="5216.20290.dita#NMCARS_5216.20290" TargetMode="External" Id="R535f9667781b46f1" /><Relationship Type="http://schemas.openxmlformats.org/officeDocument/2006/relationships/hyperlink" Target="SUBPART_5216.3.dita#NMCARS_SUBPART_5216.3" TargetMode="External" Id="Rb61889d5787c47dc" /><Relationship Type="http://schemas.openxmlformats.org/officeDocument/2006/relationships/hyperlink" Target="5216.306.dita#NMCARS_5216.306" TargetMode="External" Id="Ra515b6e15ead4cc7" /><Relationship Type="http://schemas.openxmlformats.org/officeDocument/2006/relationships/hyperlink" Target="SUBPART_5216.4.dita#NMCARS_SUBPART_5216.4" TargetMode="External" Id="R53ecae9357664a13" /><Relationship Type="http://schemas.openxmlformats.org/officeDocument/2006/relationships/hyperlink" Target="5216.401.dita#NMCARS_5216.401" TargetMode="External" Id="R53edbb5fcfdd4710" /><Relationship Type="http://schemas.openxmlformats.org/officeDocument/2006/relationships/hyperlink" Target="SUBPART_5216.5.dita#NMCARS_SUBPART_5216.5" TargetMode="External" Id="Ra584a36499b2446e" /><Relationship Type="http://schemas.openxmlformats.org/officeDocument/2006/relationships/hyperlink" Target="5216.504.dita#NMCARS_5216.504" TargetMode="External" Id="R90460b415396442d" /><Relationship Type="http://schemas.openxmlformats.org/officeDocument/2006/relationships/hyperlink" Target="5216.505.dita#NMCARS_5216.505" TargetMode="External" Id="R0f8d37bd189e47ad" /><Relationship Type="http://schemas.openxmlformats.org/officeDocument/2006/relationships/hyperlink" Target="5216.506.dita#NMCARS_5216.506" TargetMode="External" Id="R82df0d2c0ea942fd" /><Relationship Type="http://schemas.openxmlformats.org/officeDocument/2006/relationships/hyperlink" Target="mailto:RDAJ&amp;As.fct@navy.mil" TargetMode="External" Id="Redc1ef0e5a574642" /><Relationship Type="http://schemas.openxmlformats.org/officeDocument/2006/relationships/hyperlink" Target="mailto:Rdaj&amp;as.fct@navy.mil" TargetMode="External" Id="R78e501536c904664" /><Relationship Type="http://schemas.openxmlformats.org/officeDocument/2006/relationships/hyperlink" Target="mailto:Rdaj&amp;as.fct@navy.mil" TargetMode="External" Id="R21d09d96b603419e" /><Relationship Type="http://schemas.openxmlformats.org/officeDocument/2006/relationships/hyperlink" Target="mailto:RDAJ&amp;As.fct@navy.mil" TargetMode="External" Id="R42bd821ae45e4d3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