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2" w:id="0"/>
      <w:r>
        <w:rPr>
          <w:rFonts w:ascii="Times New Roman" w:hAnsi="Times New Roman"/>
          <w:color w:val="000000"/>
        </w:rPr>
        <w:t>Part 5202</w:t>
      </w:r>
      <w:r>
        <w:rPr>
          <w:rFonts w:ascii="Times New Roman" w:hAnsi="Times New Roman"/>
          <w:color w:val="000000"/>
        </w:rPr>
        <w:t xml:space="preserve"> - DEFINITIONS OF WORDS AND TERMS</w:t>
      </w:r>
      <w:bookmarkEnd w:id="0"/>
    </w:p>
    <w:p>
      <w:pPr>
        <w:spacing w:after="0"/>
        <w:jc w:val="left"/>
        <w:ind w:left="720" w:hanging="360"/>
      </w:pPr>
      <w:hyperlink w:anchor="NMCARS_SUBPART_5202.1">
        <w:r>
          <w:rPr>
            <w:rStyle w:val="Hyperlink"/>
            <w:rFonts w:ascii="Times New Roman" w:hAnsi="Times New Roman"/>
            <w:b w:val="false"/>
            <w:i w:val="false"/>
            <w:color w:val="0000ff"/>
            <w:sz w:val="22"/>
            <w:u w:val="single"/>
          </w:rPr>
          <w:t>Subpart 5202.1 - DEFINITIONS</w:t>
        </w:r>
      </w:hyperlink>
    </w:p>
    <w:p>
      <w:pPr>
        <w:spacing w:after="0"/>
        <w:jc w:val="left"/>
        <w:ind w:left="1440" w:hanging="360"/>
      </w:pPr>
      <w:hyperlink w:anchor="NMCARS2-SUBPART_5201.1_Definitions">
        <w:r>
          <w:rPr>
            <w:rStyle w:val="Hyperlink"/>
            <w:rFonts w:ascii="Times New Roman" w:hAnsi="Times New Roman"/>
            <w:b w:val="false"/>
            <w:i w:val="false"/>
            <w:color w:val="0000ff"/>
            <w:sz w:val="22"/>
            <w:u w:val="single"/>
          </w:rPr>
          <w:t>Definitions.</w:t>
        </w:r>
      </w:hyperlink>
    </w:p>
    <!-- Created by docx4j 6.1.2 (Apache licensed) using REFERENCE JAXB in Oracle Java 15 on Linux -->
    <w:p>
      <w:pPr>
        <w:pStyle w:val="Heading2"/>
        <w:spacing w:after="180"/>
        <w:ind w:left="120"/>
        <w:jc w:val="center"/>
      </w:pPr>
      <w:bookmarkStart w:name="NMCARS_SUBPART_5202.1" w:id="1"/>
      <w:r>
        <w:rPr>
          <w:rFonts w:ascii="Times New Roman" w:hAnsi="Times New Roman"/>
          <w:color w:val="000000"/>
          <w:sz w:val="36"/>
        </w:rPr>
        <w:t>Subpart 5202.1</w:t>
      </w:r>
      <w:r>
        <w:rPr>
          <w:rFonts w:ascii="Times New Roman" w:hAnsi="Times New Roman"/>
          <w:color w:val="000000"/>
          <w:sz w:val="36"/>
        </w:rPr>
        <w:t xml:space="preserve"> - DEFINITIONS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2-SUBPART_5201.1_Definitions" w:id="2"/>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“Acquisition Category” or ACAT is a defense acquisition program designation. For the purposes of NMCARS, this designation also includes “Business System Category” (BCAT) as defined in DoD Instruction 5000.75.</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Website” is defined as </w:t>
      </w:r>
      <w:hyperlink r:id="R8bf1144a0fe748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w:t>
        </w:r>
      </w:hyperlink>
      <w:r>
        <w:rPr>
          <w:rFonts w:ascii="Times New Roman" w:hAnsi="Times New Roman"/>
          <w:b w:val="false"/>
          <w:i w:val="false"/>
          <w:color w:val="000000"/>
          <w:sz w:val="22"/>
        </w:rPr>
        <w:t xml:space="preserve"> and all accompanying pages within the site where DON contracting policy is posted.</w:t>
      </w:r>
    </w:p>
    <w:p>
      <w:pPr>
        <w:pBdr>
          <w:top w:space="5"/>
          <w:left w:space="5"/>
          <w:bottom w:space="5"/>
          <w:right w:space="5"/>
        </w:pBdr>
        <w:spacing w:after="0"/>
        <w:ind w:left="225"/>
        <w:jc w:val="left"/>
      </w:pPr>
      <w:r>
        <w:rPr>
          <w:rFonts w:ascii="Times New Roman" w:hAnsi="Times New Roman"/>
          <w:b w:val="false"/>
          <w:i w:val="false"/>
          <w:color w:val="000000"/>
          <w:sz w:val="22"/>
        </w:rPr>
        <w:t>“Clause” is defined as language which imposes a duty on the Government or contractor and is not directly related to the production or performance of a contract deliverable as depicted in Figure 1, Contract Language Criteria.</w:t>
      </w:r>
    </w:p>
    <w:p>
      <w:pPr>
        <w:pBdr>
          <w:top w:space="5"/>
          <w:left w:space="5"/>
          <w:bottom w:space="5"/>
          <w:right w:space="5"/>
        </w:pBdr>
        <w:spacing w:after="0"/>
        <w:ind w:left="225"/>
        <w:jc w:val="center"/>
      </w:pPr>
      <w:r>
        <w:drawing>
          <wp:inline distT="0" distB="0" distL="0" distR="0">
            <wp:extent cx="5943600" cy="539509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f69893b1b72a4376"/>
                    <a:stretch>
                      <a:fillRect/>
                    </a:stretch>
                  </pic:blipFill>
                  <pic:spPr>
                    <a:xfrm>
                      <a:off x="0" y="0"/>
                      <a:ext cx="5943600" cy="5395098"/>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“CCO" is the “Chief of the Contracting Office”. The CCO is the official who has overall responsibility for managing the day-to-day contracting office operations and includes the principal deputy to such official.</w:t>
      </w:r>
    </w:p>
    <w:p>
      <w:pPr>
        <w:pBdr>
          <w:top w:space="5"/>
          <w:left w:space="5"/>
          <w:bottom w:space="5"/>
          <w:right w:space="5"/>
        </w:pBdr>
        <w:spacing w:after="0"/>
        <w:ind w:left="225"/>
        <w:jc w:val="left"/>
      </w:pPr>
      <w:r>
        <w:rPr>
          <w:rFonts w:ascii="Times New Roman" w:hAnsi="Times New Roman"/>
          <w:b w:val="false"/>
          <w:i w:val="false"/>
          <w:color w:val="000000"/>
          <w:sz w:val="22"/>
        </w:rPr>
        <w:t>“DASN(P)” is the Deputy Assistant Secretary of the Navy for Procurement, Office of the Assistant Secretary of the Navy (Research, Development, and Acquisition). It also includes the Executive Director, DASN(P), and the Navy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w:pPr>
        <w:pBdr>
          <w:top w:space="5"/>
          <w:left w:space="5"/>
          <w:bottom w:space="5"/>
          <w:right w:space="5"/>
        </w:pBdr>
        <w:spacing w:after="0"/>
        <w:ind w:left="225"/>
        <w:jc w:val="left"/>
      </w:pPr>
      <w:r>
        <w:rPr>
          <w:rFonts w:ascii="Times New Roman" w:hAnsi="Times New Roman"/>
          <w:b w:val="false"/>
          <w:i w:val="false"/>
          <w:color w:val="000000"/>
          <w:sz w:val="22"/>
        </w:rPr>
        <w:t>“NAE” is the Navy Acquisition Executive. ASN(RDA) is the NAE.</w:t>
      </w:r>
    </w:p>
    <w:p>
      <w:pPr>
        <w:pBdr>
          <w:top w:space="5"/>
          <w:left w:space="5"/>
          <w:bottom w:space="5"/>
          <w:right w:space="5"/>
        </w:pBdr>
        <w:spacing w:after="0"/>
        <w:ind w:left="225"/>
        <w:jc w:val="left"/>
      </w:pPr>
      <w:r>
        <w:rPr>
          <w:rFonts w:ascii="Times New Roman" w:hAnsi="Times New Roman"/>
          <w:b w:val="false"/>
          <w:i w:val="false"/>
          <w:color w:val="000000"/>
          <w:sz w:val="22"/>
        </w:rPr>
        <w:t>“Navy” or "DON" is the Department of Navy including the Marine Corps,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“NSPE” is Navy Senior Procurement Executive. ASN(RDA) is the NSPE.</w:t>
      </w:r>
    </w:p>
    <w:p>
      <w:pPr>
        <w:pBdr>
          <w:top w:space="5"/>
          <w:left w:space="5"/>
          <w:bottom w:space="5"/>
          <w:right w:space="5"/>
        </w:pBdr>
        <w:spacing w:after="0"/>
        <w:ind w:left="225"/>
        <w:jc w:val="left"/>
      </w:pPr>
      <w:r>
        <w:rPr>
          <w:rFonts w:ascii="Times New Roman" w:hAnsi="Times New Roman"/>
          <w:b w:val="false"/>
          <w:i w:val="false"/>
          <w:color w:val="000000"/>
          <w:sz w:val="22"/>
        </w:rPr>
        <w:t>“Provision” is defined as language necessary for a potential offeror to produce a conforming proposal in response to a solicitation.</w:t>
      </w:r>
    </w:p>
    <w:sectPr>
      <w:pgSz w:w="12240" w:h="15840" w:code="1"/>
      <w:pgMar w:top="1440" w:right="1440" w:bottom="1440" w:left="1440"/>
      <w:pgNumType w:start="1"/>
      <w:footerReference w:type="default" r:id="Rd3916061960d439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f69893b1b72a4376" /><Relationship Type="http://schemas.openxmlformats.org/officeDocument/2006/relationships/footer" Target="/word/footer11.xml" Id="Rd3916061960d4398" /><Relationship Type="http://schemas.openxmlformats.org/officeDocument/2006/relationships/hyperlink" Target="SUBPART_5202.1.dita#NMCARS_SUBPART_5202.1" TargetMode="External" Id="R32813ce3ae704671" /><Relationship Type="http://schemas.openxmlformats.org/officeDocument/2006/relationships/hyperlink" Target="SUBPART_5201.1_Definitions.dita#NMCARS2-SUBPART_5201.1_Definitions" TargetMode="External" Id="R3cbaeb74a4b34e59" /><Relationship Type="http://schemas.openxmlformats.org/officeDocument/2006/relationships/hyperlink" Target="https://www.secnav.navy.mil/rda/DASN-P" TargetMode="External" Id="R8bf1144a0fe748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