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4" w:id="0"/>
      <w:r>
        <w:rPr>
          <w:rFonts w:ascii="Times New Roman" w:hAnsi="Times New Roman"/>
          <w:color w:val="000000"/>
        </w:rPr>
        <w:t>Part 5204</w:t>
      </w:r>
      <w:r>
        <w:rPr>
          <w:rFonts w:ascii="Times New Roman" w:hAnsi="Times New Roman"/>
          <w:color w:val="000000"/>
        </w:rPr>
        <w:t xml:space="preserve"> - ADMINISTRATIVE MATTERS</w:t>
      </w:r>
      <w:bookmarkEnd w:id="0"/>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1"/>
      <w:r>
        <w:rPr>
          <w:rFonts w:ascii="Times New Roman" w:hAnsi="Times New Roman"/>
          <w:color w:val="000000"/>
          <w:sz w:val="36"/>
        </w:rPr>
        <w:t>Subpart 5204.2</w:t>
      </w:r>
      <w:r>
        <w:rPr>
          <w:rFonts w:ascii="Times New Roman" w:hAnsi="Times New Roman"/>
          <w:color w:val="000000"/>
          <w:sz w:val="36"/>
        </w:rPr>
        <w:t xml:space="preserve"> - CONTRACT DISTRIBUTION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2"/>
      <w:r>
        <w:rPr>
          <w:rFonts w:ascii="Times New Roman" w:hAnsi="Times New Roman"/>
          <w:color w:val="000000"/>
          <w:sz w:val="31"/>
        </w:rPr>
        <w:t>5204.270</w:t>
      </w:r>
      <w:r>
        <w:rPr>
          <w:rFonts w:ascii="Times New Roman" w:hAnsi="Times New Roman"/>
          <w:color w:val="000000"/>
          <w:sz w:val="31"/>
        </w:rPr>
        <w:t xml:space="preserve"> Electronic Data Access.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3"/>
      <w:r>
        <w:rPr>
          <w:rFonts w:ascii="Times New Roman" w:hAnsi="Times New Roman"/>
          <w:i w:val="false"/>
          <w:color w:val="000000"/>
          <w:sz w:val="24"/>
        </w:rPr>
        <w:t>5204.270-1</w:t>
      </w:r>
      <w:r>
        <w:rPr>
          <w:rFonts w:ascii="Times New Roman" w:hAnsi="Times New Roman"/>
          <w:i w:val="false"/>
          <w:color w:val="000000"/>
          <w:sz w:val="24"/>
        </w:rPr>
        <w:t xml:space="preserve"> Policy.</w:t>
      </w:r>
      <w:bookmarkEnd w:id="3"/>
    </w:p>
    <w:p>
      <w:pPr>
        <w:pStyle w:val="Normal"/>
        <w:pBdr>
          <w:top w:space="5"/>
          <w:left w:space="5"/>
          <w:bottom w:space="5"/>
          <w:right w:space="5"/>
        </w:pBdr>
        <w:spacing w:after="0"/>
        <w:ind w:left="225"/>
        <w:jc w:val="left"/>
      </w:pPr>
      <w:r>
        <w:rPr>
          <w:rFonts w:ascii="Times New Roman" w:hAnsi="Times New Roman"/>
          <w:color w:val="000000"/>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4"/>
      <w:r>
        <w:rPr>
          <w:rFonts w:ascii="Times New Roman" w:hAnsi="Times New Roman"/>
          <w:color w:val="000000"/>
          <w:sz w:val="36"/>
        </w:rPr>
        <w:t>Subpart 5204.6</w:t>
      </w:r>
      <w:r>
        <w:rPr>
          <w:rFonts w:ascii="Times New Roman" w:hAnsi="Times New Roman"/>
          <w:color w:val="000000"/>
          <w:sz w:val="36"/>
        </w:rPr>
        <w:t xml:space="preserve"> - CONTRACT REPORTING</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5"/>
      <w:r>
        <w:rPr>
          <w:rFonts w:ascii="Times New Roman" w:hAnsi="Times New Roman"/>
          <w:color w:val="000000"/>
          <w:sz w:val="31"/>
        </w:rPr>
        <w:t>5204.604</w:t>
      </w:r>
      <w:r>
        <w:rPr>
          <w:rFonts w:ascii="Times New Roman" w:hAnsi="Times New Roman"/>
          <w:color w:val="000000"/>
          <w:sz w:val="31"/>
        </w:rPr>
        <w:t xml:space="preserve"> Responsibilities.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e6835a61d9fd4b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701db80fcf3c40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f9282b7954ef42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22f42cc5e37845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6"/>
      <w:r>
        <w:rPr>
          <w:rFonts w:ascii="Times New Roman" w:hAnsi="Times New Roman"/>
          <w:color w:val="000000"/>
          <w:sz w:val="36"/>
        </w:rPr>
        <w:t>Subpart 5204.8</w:t>
      </w:r>
      <w:r>
        <w:rPr>
          <w:rFonts w:ascii="Times New Roman" w:hAnsi="Times New Roman"/>
          <w:color w:val="000000"/>
          <w:sz w:val="36"/>
        </w:rPr>
        <w:t xml:space="preserve"> - GOVERNMENT CONTRACT FILES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
      <w:r>
        <w:rPr>
          <w:rFonts w:ascii="Times New Roman" w:hAnsi="Times New Roman"/>
          <w:color w:val="000000"/>
          <w:sz w:val="24"/>
        </w:rPr>
        <w:t>5204.804</w:t>
      </w:r>
      <w:r>
        <w:rPr>
          <w:rFonts w:ascii="Times New Roman" w:hAnsi="Times New Roman"/>
          <w:color w:val="000000"/>
          <w:sz w:val="24"/>
        </w:rPr>
        <w:t xml:space="preserve"> Closeout of contract files.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8"/>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8"/>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0fae9fcc722647d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9"/>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9"/>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10"/>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11"/>
      <w:r>
        <w:rPr>
          <w:rFonts w:ascii="Times New Roman" w:hAnsi="Times New Roman"/>
          <w:color w:val="000000"/>
          <w:sz w:val="31"/>
        </w:rPr>
        <w:t>5204.2103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w:t>
      </w:r>
      <w:hyperlink r:id="R37c1ae062b364df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12"/>
      <w:r>
        <w:rPr>
          <w:rFonts w:ascii="Times New Roman" w:hAnsi="Times New Roman"/>
          <w:color w:val="000000"/>
          <w:sz w:val="31"/>
        </w:rPr>
        <w:t>5204.2104</w:t>
      </w:r>
      <w:r>
        <w:rPr>
          <w:rFonts w:ascii="Times New Roman" w:hAnsi="Times New Roman"/>
          <w:color w:val="000000"/>
          <w:sz w:val="31"/>
        </w:rPr>
        <w:t xml:space="preserve"> Waivers.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5876f2b203ba4ba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bd884edc15cd414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13"/>
      <w:r>
        <w:rPr>
          <w:rFonts w:ascii="Times New Roman" w:hAnsi="Times New Roman"/>
          <w:color w:val="000000"/>
          <w:sz w:val="36"/>
        </w:rPr>
        <w:t>Subpart 5204.73</w:t>
      </w:r>
      <w:r>
        <w:rPr>
          <w:rFonts w:ascii="Times New Roman" w:hAnsi="Times New Roman"/>
          <w:color w:val="000000"/>
          <w:sz w:val="36"/>
        </w:rPr>
        <w:t xml:space="preserve"> - SAFEGUARDING COVERED DEFENSE INFORMATION AND CYBER INCIDENT REPORTING</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14"/>
      <w:r>
        <w:rPr>
          <w:rFonts w:ascii="Times New Roman" w:hAnsi="Times New Roman"/>
          <w:color w:val="000000"/>
          <w:sz w:val="31"/>
        </w:rPr>
        <w:t>5204.7303</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15"/>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15"/>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w:sectPr>
      <w:pgSz w:w="12240" w:h="15840" w:code="1"/>
      <w:pgMar w:top="1440" w:right="1440" w:bottom="1440" w:left="1440"/>
      <w:pgNumType w:start="1"/>
      <w:footerReference w:type="default" r:id="R7a0bf0cd7fca46a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a0bf0cd7fca46ab" /><Relationship Type="http://schemas.openxmlformats.org/officeDocument/2006/relationships/hyperlink" Target="SUBPART_5204.2.dita#NMCARS_SUBPART_5204.2" TargetMode="External" Id="Reb70246fabd34b84" /><Relationship Type="http://schemas.openxmlformats.org/officeDocument/2006/relationships/hyperlink" Target="5204.270.dita#NMCARS_5204.270" TargetMode="External" Id="R5cdaca39724e479b" /><Relationship Type="http://schemas.openxmlformats.org/officeDocument/2006/relationships/hyperlink" Target="5204.2701.dita#NMCARS_5204.2701" TargetMode="External" Id="Rd30877fe35f14426" /><Relationship Type="http://schemas.openxmlformats.org/officeDocument/2006/relationships/hyperlink" Target="SUBPART_5204.6.dita#NMCARS_SUBPART_5204.6" TargetMode="External" Id="Rf5f17af609104b55" /><Relationship Type="http://schemas.openxmlformats.org/officeDocument/2006/relationships/hyperlink" Target="5204.604.dita#NMCARS_5204.604" TargetMode="External" Id="R7a308ecb6e5d4b16" /><Relationship Type="http://schemas.openxmlformats.org/officeDocument/2006/relationships/hyperlink" Target="SUBPART_5204.8.dita#NMCARS_SUBPART_5204.8" TargetMode="External" Id="R88b23d5e0a3348ee" /><Relationship Type="http://schemas.openxmlformats.org/officeDocument/2006/relationships/hyperlink" Target="5204.804.dita#NMCARS_5204.804" TargetMode="External" Id="Re5c1e94fefb64e52" /><Relationship Type="http://schemas.openxmlformats.org/officeDocument/2006/relationships/hyperlink" Target="5204.8041.dita#NMCARS_5204.8041" TargetMode="External" Id="Re876433d14964729" /><Relationship Type="http://schemas.openxmlformats.org/officeDocument/2006/relationships/hyperlink" Target="5204.805.dita#NMCARS_5204.805" TargetMode="External" Id="R063d979248a443de" /><Relationship Type="http://schemas.openxmlformats.org/officeDocument/2006/relationships/hyperlink" Target="SUBPART_5204.21.dita#NMCARS_SUBPART_5204.21" TargetMode="External" Id="Rbc5d3d3c14c541d9" /><Relationship Type="http://schemas.openxmlformats.org/officeDocument/2006/relationships/hyperlink" Target="5204.2103.dita#NMCARS_5204.2103" TargetMode="External" Id="R374f406deb794566" /><Relationship Type="http://schemas.openxmlformats.org/officeDocument/2006/relationships/hyperlink" Target="5204.2104.dita#NMCARS_5204.2104" TargetMode="External" Id="Rba49d1c5ef644fb3" /><Relationship Type="http://schemas.openxmlformats.org/officeDocument/2006/relationships/hyperlink" Target="SUBPART_5204.73.dita#NMCARS_SUBPART_5204.73" TargetMode="External" Id="R5d031a1a16c44c48" /><Relationship Type="http://schemas.openxmlformats.org/officeDocument/2006/relationships/hyperlink" Target="5204.7303.dita#NMCARS_5204.7303" TargetMode="External" Id="R981c649cd56e41f4" /><Relationship Type="http://schemas.openxmlformats.org/officeDocument/2006/relationships/hyperlink" Target="5204.73031.dita#NMCARS_5204.73031" TargetMode="External" Id="R98810921f7b04a46" /><Relationship Type="http://schemas.openxmlformats.org/officeDocument/2006/relationships/hyperlink" Target="http://www.acq.osd.mil/dpap/pdi/eb/dataimp.html" TargetMode="External" Id="Re6835a61d9fd4bb9" /><Relationship Type="http://schemas.openxmlformats.org/officeDocument/2006/relationships/hyperlink" Target="mailto:Policy@navy.mil" TargetMode="External" Id="R701db80fcf3c406e" /><Relationship Type="http://schemas.openxmlformats.org/officeDocument/2006/relationships/hyperlink" Target="http://www.acq.osd.mil/dpap/pdi/eb/dataimp.html" TargetMode="External" Id="Rf9282b7954ef421f" /><Relationship Type="http://schemas.openxmlformats.org/officeDocument/2006/relationships/hyperlink" Target="mailto:Policy@navy.mil" TargetMode="External" Id="R22f42cc5e3784535" /><Relationship Type="http://schemas.openxmlformats.org/officeDocument/2006/relationships/hyperlink" Target="mailto:usn.pentagon.asstsecnavrdadc.mbx.pabt@us.navy.mil" TargetMode="External" Id="R0fae9fcc722647d3" /><Relationship Type="http://schemas.openxmlformats.org/officeDocument/2006/relationships/hyperlink" Target="mailto:usn.pentagon.asstsecnavrdadc.mbx.pabt@us.navy.mil" TargetMode="External" Id="R37c1ae062b364dfd" /><Relationship Type="http://schemas.openxmlformats.org/officeDocument/2006/relationships/hyperlink" Target="mailto:usn.pentagon.asstsecnavrdadc.mbx.pabt@us.navy.mil" TargetMode="External" Id="R5876f2b203ba4ba0" /><Relationship Type="http://schemas.openxmlformats.org/officeDocument/2006/relationships/hyperlink" Target="mailto:usn.pentagon.asstsecnavrdadc.mbx.pabt@us.navy.mil" TargetMode="External" Id="Rbd884edc15cd414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