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7" w:id="0"/>
      <w:r>
        <w:rPr>
          <w:rFonts w:ascii="Times New Roman" w:hAnsi="Times New Roman"/>
          <w:color w:val="000000"/>
        </w:rPr>
        <w:t>Part 5207</w:t>
      </w:r>
      <w:r>
        <w:rPr>
          <w:rFonts w:ascii="Times New Roman" w:hAnsi="Times New Roman"/>
          <w:color w:val="000000"/>
        </w:rPr>
        <w:t xml:space="preserve"> - ACQUISITION PLANNING</w:t>
      </w:r>
      <w:bookmarkEnd w:id="0"/>
    </w:p>
    <w:p>
      <w:pPr>
        <w:spacing w:after="0"/>
        <w:jc w:val="left"/>
        <w:ind w:left="720" w:hanging="360"/>
      </w:pPr>
      <w:hyperlink w:anchor="NMCARS_SUBPART_5207.1">
        <w:r>
          <w:rPr>
            <w:rStyle w:val="Hyperlink"/>
            <w:rFonts w:ascii="Times New Roman" w:hAnsi="Times New Roman"/>
            <w:b w:val="false"/>
            <w:i w:val="false"/>
            <w:color w:val="0000ff"/>
            <w:sz w:val="22"/>
            <w:u w:val="single"/>
          </w:rPr>
          <w:t>Subpart 5207.1 - ACQUISITION PLANS</w:t>
        </w:r>
      </w:hyperlink>
    </w:p>
    <w:p>
      <w:pPr>
        <w:spacing w:after="0"/>
        <w:jc w:val="left"/>
        <w:ind w:left="1440" w:hanging="360"/>
      </w:pPr>
      <w:hyperlink w:anchor="NMCARS_5207.103">
        <w:r>
          <w:rPr>
            <w:rStyle w:val="Hyperlink"/>
            <w:rFonts w:ascii="Times New Roman" w:hAnsi="Times New Roman"/>
            <w:b w:val="false"/>
            <w:i w:val="false"/>
            <w:color w:val="0000ff"/>
            <w:sz w:val="22"/>
            <w:u w:val="single"/>
          </w:rPr>
          <w:t>5207.103 Agency-head responsibilities.</w:t>
        </w:r>
      </w:hyperlink>
    </w:p>
    <w:p>
      <w:pPr>
        <w:spacing w:after="0"/>
        <w:jc w:val="left"/>
        <w:ind w:left="1440" w:hanging="360"/>
      </w:pPr>
      <w:hyperlink w:anchor="NMCARS_5207.105">
        <w:r>
          <w:rPr>
            <w:rStyle w:val="Hyperlink"/>
            <w:rFonts w:ascii="Times New Roman" w:hAnsi="Times New Roman"/>
            <w:b w:val="false"/>
            <w:i w:val="false"/>
            <w:color w:val="0000ff"/>
            <w:sz w:val="22"/>
            <w:u w:val="single"/>
          </w:rPr>
          <w:t>5207.105 Contents of written acquisition plans.</w:t>
        </w:r>
      </w:hyperlink>
    </w:p>
    <w:p>
      <w:pPr>
        <w:spacing w:after="0"/>
        <w:jc w:val="left"/>
        <w:ind w:left="1440" w:hanging="360"/>
      </w:pPr>
      <w:hyperlink w:anchor="NMCARS_5207.106">
        <w:r>
          <w:rPr>
            <w:rStyle w:val="Hyperlink"/>
            <w:rFonts w:ascii="Times New Roman" w:hAnsi="Times New Roman"/>
            <w:b w:val="false"/>
            <w:i w:val="false"/>
            <w:color w:val="0000ff"/>
            <w:sz w:val="22"/>
            <w:u w:val="single"/>
          </w:rPr>
          <w:t>5207.106 Additional requirements for major systems.</w:t>
        </w:r>
      </w:hyperlink>
    </w:p>
    <w:p>
      <w:pPr>
        <w:spacing w:after="0"/>
        <w:jc w:val="left"/>
        <w:ind w:left="1440" w:hanging="360"/>
      </w:pPr>
      <w:hyperlink w:anchor="NMCARS_5207.107">
        <w:r>
          <w:rPr>
            <w:rStyle w:val="Hyperlink"/>
            <w:rFonts w:ascii="Times New Roman" w:hAnsi="Times New Roman"/>
            <w:b w:val="false"/>
            <w:i w:val="false"/>
            <w:color w:val="0000ff"/>
            <w:sz w:val="22"/>
            <w:u w:val="single"/>
          </w:rPr>
          <w:t>5207.107 Additional requirements for acquisitions involving consolidation, bundling, or substantial bundling.</w:t>
        </w:r>
      </w:hyperlink>
    </w:p>
    <w:p>
      <w:pPr>
        <w:spacing w:after="0"/>
        <w:jc w:val="left"/>
        <w:ind w:left="2160" w:hanging="180"/>
      </w:pPr>
      <w:hyperlink w:anchor="NMCARS_5207.1072">
        <w:r>
          <w:rPr>
            <w:rStyle w:val="Hyperlink"/>
            <w:rFonts w:ascii="Times New Roman" w:hAnsi="Times New Roman"/>
            <w:b w:val="false"/>
            <w:i w:val="false"/>
            <w:color w:val="0000ff"/>
            <w:sz w:val="22"/>
            <w:u w:val="single"/>
          </w:rPr>
          <w:t>5207.107-2 Consolidation.</w:t>
        </w:r>
      </w:hyperlink>
    </w:p>
    <w:p>
      <w:pPr>
        <w:spacing w:after="0"/>
        <w:jc w:val="left"/>
        <w:ind w:left="2160" w:hanging="180"/>
      </w:pPr>
      <w:hyperlink w:anchor="NMCARS_5207.1073">
        <w:r>
          <w:rPr>
            <w:rStyle w:val="Hyperlink"/>
            <w:rFonts w:ascii="Times New Roman" w:hAnsi="Times New Roman"/>
            <w:b w:val="false"/>
            <w:i w:val="false"/>
            <w:color w:val="0000ff"/>
            <w:sz w:val="22"/>
            <w:u w:val="single"/>
          </w:rPr>
          <w:t>5207.107-3 Bundling.</w:t>
        </w:r>
      </w:hyperlink>
    </w:p>
    <w:p>
      <w:pPr>
        <w:spacing w:after="0"/>
        <w:jc w:val="left"/>
        <w:ind w:left="720" w:hanging="360"/>
      </w:pPr>
      <w:hyperlink w:anchor="NMCARS_SUBPART_5207.2">
        <w:r>
          <w:rPr>
            <w:rStyle w:val="Hyperlink"/>
            <w:rFonts w:ascii="Times New Roman" w:hAnsi="Times New Roman"/>
            <w:b w:val="false"/>
            <w:i w:val="false"/>
            <w:color w:val="0000ff"/>
            <w:sz w:val="22"/>
            <w:u w:val="single"/>
          </w:rPr>
          <w:t>Subpart 5207.2 - PLANNING FOR THE PURCHASE OF SUPPLIES IN ECONOMIC QUANTITIES</w:t>
        </w:r>
      </w:hyperlink>
    </w:p>
    <w:p>
      <w:pPr>
        <w:spacing w:after="0"/>
        <w:jc w:val="left"/>
        <w:ind w:left="1440" w:hanging="360"/>
      </w:pPr>
      <w:hyperlink w:anchor="NMCARS_5207.204">
        <w:r>
          <w:rPr>
            <w:rStyle w:val="Hyperlink"/>
            <w:rFonts w:ascii="Times New Roman" w:hAnsi="Times New Roman"/>
            <w:b w:val="false"/>
            <w:i w:val="false"/>
            <w:color w:val="0000ff"/>
            <w:sz w:val="22"/>
            <w:u w:val="single"/>
          </w:rPr>
          <w:t>5207.204 Responsibilities of contracting officers.</w:t>
        </w:r>
      </w:hyperlink>
    </w:p>
    <w:p>
      <w:pPr>
        <w:spacing w:after="0"/>
        <w:jc w:val="left"/>
        <w:ind w:left="720" w:hanging="360"/>
      </w:pPr>
      <w:hyperlink w:anchor="NMCARS_SUBPART_5207.5">
        <w:r>
          <w:rPr>
            <w:rStyle w:val="Hyperlink"/>
            <w:rFonts w:ascii="Times New Roman" w:hAnsi="Times New Roman"/>
            <w:b w:val="false"/>
            <w:i w:val="false"/>
            <w:color w:val="0000ff"/>
            <w:sz w:val="22"/>
            <w:u w:val="single"/>
          </w:rPr>
          <w:t>Subpart 5207.5 - INHERENTLY GOVERNMENTAL FUNCTIONS</w:t>
        </w:r>
      </w:hyperlink>
    </w:p>
    <w:p>
      <w:pPr>
        <w:spacing w:after="0"/>
        <w:jc w:val="left"/>
        <w:ind w:left="1440" w:hanging="360"/>
      </w:pPr>
      <w:hyperlink w:anchor="NMCARS_5207.503">
        <w:r>
          <w:rPr>
            <w:rStyle w:val="Hyperlink"/>
            <w:rFonts w:ascii="Times New Roman" w:hAnsi="Times New Roman"/>
            <w:b w:val="false"/>
            <w:i w:val="false"/>
            <w:color w:val="0000ff"/>
            <w:sz w:val="22"/>
            <w:u w:val="single"/>
          </w:rPr>
          <w:t>5207.503 Policy.</w:t>
        </w:r>
      </w:hyperlink>
    </w:p>
    <w:p>
      <w:pPr>
        <w:spacing w:after="0"/>
        <w:jc w:val="left"/>
        <w:ind w:left="720" w:hanging="360"/>
      </w:pPr>
      <w:hyperlink w:anchor="NMCARS_SUBPART_5207.70">
        <w:r>
          <w:rPr>
            <w:rStyle w:val="Hyperlink"/>
            <w:rFonts w:ascii="Times New Roman" w:hAnsi="Times New Roman"/>
            <w:b w:val="false"/>
            <w:i w:val="false"/>
            <w:color w:val="0000ff"/>
            <w:sz w:val="22"/>
            <w:u w:val="single"/>
          </w:rPr>
          <w:t>Subpart 5207.70 - BUY-TO-BUDGET - ADDITIONAL QUANTITIES OF END ITEMS</w:t>
        </w:r>
      </w:hyperlink>
    </w:p>
    <w:p>
      <w:pPr>
        <w:spacing w:after="0"/>
        <w:jc w:val="left"/>
        <w:ind w:left="1440" w:hanging="360"/>
      </w:pPr>
      <w:hyperlink w:anchor="NMCARS_5207.7002">
        <w:r>
          <w:rPr>
            <w:rStyle w:val="Hyperlink"/>
            <w:rFonts w:ascii="Times New Roman" w:hAnsi="Times New Roman"/>
            <w:b w:val="false"/>
            <w:i w:val="false"/>
            <w:color w:val="0000ff"/>
            <w:sz w:val="22"/>
            <w:u w:val="single"/>
          </w:rPr>
          <w:t>5207.7002 Authority to acquire additional quantities of end items.</w:t>
        </w:r>
      </w:hyperlink>
    </w:p>
    <!-- Created by docx4j 6.1.2 (Apache licensed) using REFERENCE JAXB in Oracle Java 15 on Linux -->
    <w:p>
      <w:pPr>
        <w:pStyle w:val="Heading2"/>
        <w:spacing w:after="180"/>
        <w:ind w:left="120"/>
        <w:jc w:val="center"/>
      </w:pPr>
      <w:bookmarkStart w:name="NMCARS_SUBPART_5207.1" w:id="1"/>
      <w:r>
        <w:rPr>
          <w:rFonts w:ascii="Times New Roman" w:hAnsi="Times New Roman"/>
          <w:color w:val="000000"/>
          <w:sz w:val="36"/>
        </w:rPr>
        <w:t>Subpart 5207.1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103" w:id="2"/>
      <w:r>
        <w:rPr>
          <w:rFonts w:ascii="Times New Roman" w:hAnsi="Times New Roman"/>
          <w:color w:val="000000"/>
          <w:sz w:val="31"/>
        </w:rPr>
        <w:t>5207.103</w:t>
      </w:r>
      <w:r>
        <w:rPr>
          <w:rFonts w:ascii="Times New Roman" w:hAnsi="Times New Roman"/>
          <w:color w:val="000000"/>
          <w:sz w:val="31"/>
        </w:rPr>
        <w:t xml:space="preserve"> Agency-head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spacing w:after="0"/>
        <w:jc w:val="left"/>
        <w:ind w:left="720" w:hanging="360"/>
      </w:pPr>
      <w:r>
        <w:rPr>
          <w:rFonts w:ascii="Times New Roman" w:hAnsi="Times New Roman"/>
          <w:b w:val="false"/>
          <w:i w:val="false"/>
          <w:color w:val="000000"/>
          <w:sz w:val="22"/>
        </w:rPr>
        <w:t xml:space="preserve"> </w:t>
      </w:r>
      <w:bookmarkStart w:name="wuzFWN" w:id="3"/>
      <w:r>
        <w:rPr>
          <w:rFonts w:ascii="Times New Roman" w:hAnsi="Times New Roman"/>
          <w:b w:val="false"/>
          <w:i w:val="false"/>
          <w:color w:val="000000"/>
          <w:sz w:val="22"/>
        </w:rPr>
        <w:t>(A)</w:t>
      </w:r>
      <w:bookmarkEnd w:id="3"/>
      <w:r>
        <w:rPr>
          <w:rFonts w:ascii="Times New Roman" w:hAnsi="Times New Roman"/>
          <w:b w:val="false"/>
          <w:i w:val="false"/>
          <w:color w:val="000000"/>
          <w:sz w:val="22"/>
        </w:rPr>
        <w:t xml:space="preserve"> Military construction;</w:t>
      </w:r>
    </w:p>
    <w:p>
      <w:pPr>
        <w:spacing w:after="0"/>
        <w:jc w:val="left"/>
        <w:ind w:left="720" w:hanging="360"/>
      </w:pPr>
      <w:r>
        <w:rPr>
          <w:rFonts w:ascii="Times New Roman" w:hAnsi="Times New Roman"/>
          <w:b w:val="false"/>
          <w:i w:val="false"/>
          <w:color w:val="000000"/>
          <w:sz w:val="22"/>
        </w:rPr>
        <w:t xml:space="preserve"> </w:t>
      </w:r>
      <w:bookmarkStart w:name="vOTJGX" w:id="4"/>
      <w:r>
        <w:rPr>
          <w:rFonts w:ascii="Times New Roman" w:hAnsi="Times New Roman"/>
          <w:b w:val="false"/>
          <w:i w:val="false"/>
          <w:color w:val="000000"/>
          <w:sz w:val="22"/>
        </w:rPr>
        <w:t>(B)</w:t>
      </w:r>
      <w:bookmarkEnd w:id="4"/>
      <w:r>
        <w:rPr>
          <w:rFonts w:ascii="Times New Roman" w:hAnsi="Times New Roman"/>
          <w:b w:val="false"/>
          <w:i w:val="false"/>
          <w:color w:val="000000"/>
          <w:sz w:val="22"/>
        </w:rPr>
        <w:t xml:space="preserve"> Commercial items;</w:t>
      </w:r>
    </w:p>
    <w:p>
      <w:pPr>
        <w:spacing w:after="0"/>
        <w:jc w:val="left"/>
        <w:ind w:left="720" w:hanging="360"/>
      </w:pPr>
      <w:r>
        <w:rPr>
          <w:rFonts w:ascii="Times New Roman" w:hAnsi="Times New Roman"/>
          <w:b w:val="false"/>
          <w:i w:val="false"/>
          <w:color w:val="000000"/>
          <w:sz w:val="22"/>
        </w:rPr>
        <w:t xml:space="preserve"> </w:t>
      </w:r>
      <w:bookmarkStart w:name="sRpFvy" w:id="5"/>
      <w:r>
        <w:rPr>
          <w:rFonts w:ascii="Times New Roman" w:hAnsi="Times New Roman"/>
          <w:b w:val="false"/>
          <w:i w:val="false"/>
          <w:color w:val="000000"/>
          <w:sz w:val="22"/>
        </w:rPr>
        <w:t>(C)</w:t>
      </w:r>
      <w:bookmarkEnd w:id="5"/>
      <w:r>
        <w:rPr>
          <w:rFonts w:ascii="Times New Roman" w:hAnsi="Times New Roman"/>
          <w:b w:val="false"/>
          <w:i w:val="false"/>
          <w:color w:val="000000"/>
          <w:sz w:val="22"/>
        </w:rPr>
        <w:t xml:space="preserve"> Spare and repair parts;</w:t>
      </w:r>
    </w:p>
    <w:p>
      <w:pPr>
        <w:spacing w:after="0"/>
        <w:jc w:val="left"/>
        <w:ind w:left="720" w:hanging="360"/>
      </w:pPr>
      <w:r>
        <w:rPr>
          <w:rFonts w:ascii="Times New Roman" w:hAnsi="Times New Roman"/>
          <w:b w:val="false"/>
          <w:i w:val="false"/>
          <w:color w:val="000000"/>
          <w:sz w:val="22"/>
        </w:rPr>
        <w:t xml:space="preserve"> </w:t>
      </w:r>
      <w:bookmarkStart w:name="rarKjy" w:id="6"/>
      <w:r>
        <w:rPr>
          <w:rFonts w:ascii="Times New Roman" w:hAnsi="Times New Roman"/>
          <w:b w:val="false"/>
          <w:i w:val="false"/>
          <w:color w:val="000000"/>
          <w:sz w:val="22"/>
        </w:rPr>
        <w:t>(D)</w:t>
      </w:r>
      <w:bookmarkEnd w:id="6"/>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spacing w:after="0"/>
        <w:jc w:val="left"/>
        <w:ind w:left="720" w:hanging="360"/>
      </w:pPr>
      <w:r>
        <w:rPr>
          <w:rFonts w:ascii="Times New Roman" w:hAnsi="Times New Roman"/>
          <w:b w:val="false"/>
          <w:i w:val="false"/>
          <w:color w:val="000000"/>
          <w:sz w:val="22"/>
        </w:rPr>
        <w:t xml:space="preserve"> </w:t>
      </w:r>
      <w:bookmarkStart w:name="MpKkhJ" w:id="7"/>
      <w:r>
        <w:rPr>
          <w:rFonts w:ascii="Times New Roman" w:hAnsi="Times New Roman"/>
          <w:b w:val="false"/>
          <w:i w:val="false"/>
          <w:color w:val="000000"/>
          <w:sz w:val="22"/>
        </w:rPr>
        <w:t>(E)</w:t>
      </w:r>
      <w:bookmarkEnd w:id="7"/>
      <w:r>
        <w:rPr>
          <w:rFonts w:ascii="Times New Roman" w:hAnsi="Times New Roman"/>
          <w:b w:val="false"/>
          <w:i w:val="false"/>
          <w:color w:val="000000"/>
          <w:sz w:val="22"/>
        </w:rPr>
        <w:t xml:space="preserve"> Overhaul and/or modification of naval vessels, small vessels and crafts (including MSC vessels/crafts);</w:t>
      </w:r>
    </w:p>
    <w:p>
      <w:pPr>
        <w:spacing w:after="0"/>
        <w:jc w:val="left"/>
        <w:ind w:left="720" w:hanging="360"/>
      </w:pPr>
      <w:r>
        <w:rPr>
          <w:rFonts w:ascii="Times New Roman" w:hAnsi="Times New Roman"/>
          <w:b w:val="false"/>
          <w:i w:val="false"/>
          <w:color w:val="000000"/>
          <w:sz w:val="22"/>
        </w:rPr>
        <w:t xml:space="preserve"> </w:t>
      </w:r>
      <w:bookmarkStart w:name="ezEubH" w:id="8"/>
      <w:r>
        <w:rPr>
          <w:rFonts w:ascii="Times New Roman" w:hAnsi="Times New Roman"/>
          <w:b w:val="false"/>
          <w:i w:val="false"/>
          <w:color w:val="000000"/>
          <w:sz w:val="22"/>
        </w:rPr>
        <w:t>(F)</w:t>
      </w:r>
      <w:bookmarkEnd w:id="8"/>
      <w:r>
        <w:rPr>
          <w:rFonts w:ascii="Times New Roman" w:hAnsi="Times New Roman"/>
          <w:b w:val="false"/>
          <w:i w:val="false"/>
          <w:color w:val="000000"/>
          <w:sz w:val="22"/>
        </w:rPr>
        <w:t xml:space="preserve"> Overhaul and/or modification of engines;</w:t>
      </w:r>
    </w:p>
    <w:p>
      <w:pPr>
        <w:spacing w:after="0"/>
        <w:jc w:val="left"/>
        <w:ind w:left="720" w:hanging="360"/>
      </w:pPr>
      <w:r>
        <w:rPr>
          <w:rFonts w:ascii="Times New Roman" w:hAnsi="Times New Roman"/>
          <w:b w:val="false"/>
          <w:i w:val="false"/>
          <w:color w:val="000000"/>
          <w:sz w:val="22"/>
        </w:rPr>
        <w:t xml:space="preserve"> </w:t>
      </w:r>
      <w:bookmarkStart w:name="qlAEiX" w:id="9"/>
      <w:r>
        <w:rPr>
          <w:rFonts w:ascii="Times New Roman" w:hAnsi="Times New Roman"/>
          <w:b w:val="false"/>
          <w:i w:val="false"/>
          <w:color w:val="000000"/>
          <w:sz w:val="22"/>
        </w:rPr>
        <w:t>(G)</w:t>
      </w:r>
      <w:bookmarkEnd w:id="9"/>
      <w:r>
        <w:rPr>
          <w:rFonts w:ascii="Times New Roman" w:hAnsi="Times New Roman"/>
          <w:b w:val="false"/>
          <w:i w:val="false"/>
          <w:color w:val="000000"/>
          <w:sz w:val="22"/>
        </w:rPr>
        <w:t xml:space="preserve"> Operation and maintenance of weapon test/training ranges;</w:t>
      </w:r>
    </w:p>
    <w:p>
      <w:pPr>
        <w:spacing w:after="0"/>
        <w:jc w:val="left"/>
        <w:ind w:left="720" w:hanging="360"/>
      </w:pPr>
      <w:r>
        <w:rPr>
          <w:rFonts w:ascii="Times New Roman" w:hAnsi="Times New Roman"/>
          <w:b w:val="false"/>
          <w:i w:val="false"/>
          <w:color w:val="000000"/>
          <w:sz w:val="22"/>
        </w:rPr>
        <w:t xml:space="preserve"> </w:t>
      </w:r>
      <w:bookmarkStart w:name="AvPFxf" w:id="10"/>
      <w:r>
        <w:rPr>
          <w:rFonts w:ascii="Times New Roman" w:hAnsi="Times New Roman"/>
          <w:b w:val="false"/>
          <w:i w:val="false"/>
          <w:color w:val="000000"/>
          <w:sz w:val="22"/>
        </w:rPr>
        <w:t>(H)</w:t>
      </w:r>
      <w:bookmarkEnd w:id="10"/>
      <w:r>
        <w:rPr>
          <w:rFonts w:ascii="Times New Roman" w:hAnsi="Times New Roman"/>
          <w:b w:val="false"/>
          <w:i w:val="false"/>
          <w:color w:val="000000"/>
          <w:sz w:val="22"/>
        </w:rPr>
        <w:t xml:space="preserve"> Ocean towage;</w:t>
      </w:r>
    </w:p>
    <w:p>
      <w:pPr>
        <w:spacing w:after="0"/>
        <w:jc w:val="left"/>
        <w:ind w:left="720" w:hanging="360"/>
      </w:pPr>
      <w:r>
        <w:rPr>
          <w:rFonts w:ascii="Times New Roman" w:hAnsi="Times New Roman"/>
          <w:b w:val="false"/>
          <w:i w:val="false"/>
          <w:color w:val="000000"/>
          <w:sz w:val="22"/>
        </w:rPr>
        <w:t xml:space="preserve"> </w:t>
      </w:r>
      <w:bookmarkStart w:name="YwYoyV" w:id="11"/>
      <w:r>
        <w:rPr>
          <w:rFonts w:ascii="Times New Roman" w:hAnsi="Times New Roman"/>
          <w:b w:val="false"/>
          <w:i w:val="false"/>
          <w:color w:val="000000"/>
          <w:sz w:val="22"/>
        </w:rPr>
        <w:t>(I)</w:t>
      </w:r>
      <w:bookmarkEnd w:id="11"/>
      <w:r>
        <w:rPr>
          <w:rFonts w:ascii="Times New Roman" w:hAnsi="Times New Roman"/>
          <w:b w:val="false"/>
          <w:i w:val="false"/>
          <w:color w:val="000000"/>
          <w:sz w:val="22"/>
        </w:rPr>
        <w:t xml:space="preserve"> Commercial activities;</w:t>
      </w:r>
    </w:p>
    <w:p>
      <w:pPr>
        <w:spacing w:after="0"/>
        <w:jc w:val="left"/>
        <w:ind w:left="720" w:hanging="360"/>
      </w:pPr>
      <w:r>
        <w:rPr>
          <w:rFonts w:ascii="Times New Roman" w:hAnsi="Times New Roman"/>
          <w:b w:val="false"/>
          <w:i w:val="false"/>
          <w:color w:val="000000"/>
          <w:sz w:val="22"/>
        </w:rPr>
        <w:t xml:space="preserve"> </w:t>
      </w:r>
      <w:bookmarkStart w:name="VvCqYF" w:id="12"/>
      <w:r>
        <w:rPr>
          <w:rFonts w:ascii="Times New Roman" w:hAnsi="Times New Roman"/>
          <w:b w:val="false"/>
          <w:i w:val="false"/>
          <w:color w:val="000000"/>
          <w:sz w:val="22"/>
        </w:rPr>
        <w:t>(J)</w:t>
      </w:r>
      <w:bookmarkEnd w:id="12"/>
      <w:r>
        <w:rPr>
          <w:rFonts w:ascii="Times New Roman" w:hAnsi="Times New Roman"/>
          <w:b w:val="false"/>
          <w:i w:val="false"/>
          <w:color w:val="000000"/>
          <w:sz w:val="22"/>
        </w:rPr>
        <w:t xml:space="preserve"> Architect-engineer;</w:t>
      </w:r>
    </w:p>
    <w:p>
      <w:pPr>
        <w:spacing w:after="0"/>
        <w:jc w:val="left"/>
        <w:ind w:left="720" w:hanging="360"/>
      </w:pPr>
      <w:r>
        <w:rPr>
          <w:rFonts w:ascii="Times New Roman" w:hAnsi="Times New Roman"/>
          <w:b w:val="false"/>
          <w:i w:val="false"/>
          <w:color w:val="000000"/>
          <w:sz w:val="22"/>
        </w:rPr>
        <w:t xml:space="preserve"> </w:t>
      </w:r>
      <w:bookmarkStart w:name="mjMLzn" w:id="13"/>
      <w:r>
        <w:rPr>
          <w:rFonts w:ascii="Times New Roman" w:hAnsi="Times New Roman"/>
          <w:b w:val="false"/>
          <w:i w:val="false"/>
          <w:color w:val="000000"/>
          <w:sz w:val="22"/>
        </w:rPr>
        <w:t>(K)</w:t>
      </w:r>
      <w:bookmarkEnd w:id="13"/>
      <w:r>
        <w:rPr>
          <w:rFonts w:ascii="Times New Roman" w:hAnsi="Times New Roman"/>
          <w:b w:val="false"/>
          <w:i w:val="false"/>
          <w:color w:val="000000"/>
          <w:sz w:val="22"/>
        </w:rPr>
        <w:t xml:space="preserve"> Major station maintenance and repair; and</w:t>
      </w:r>
    </w:p>
    <w:p>
      <w:pPr>
        <w:spacing w:after="0"/>
        <w:jc w:val="left"/>
        <w:ind w:left="720" w:hanging="360"/>
      </w:pPr>
      <w:r>
        <w:rPr>
          <w:rFonts w:ascii="Times New Roman" w:hAnsi="Times New Roman"/>
          <w:b w:val="false"/>
          <w:i w:val="false"/>
          <w:color w:val="000000"/>
          <w:sz w:val="22"/>
        </w:rPr>
        <w:t xml:space="preserve"> </w:t>
      </w:r>
      <w:bookmarkStart w:name="p__Hlk66440300" w:id="14"/>
      <w:r>
        <w:rPr>
          <w:rFonts w:ascii="Times New Roman" w:hAnsi="Times New Roman"/>
          <w:b w:val="false"/>
          <w:i w:val="false"/>
          <w:color w:val="000000"/>
          <w:sz w:val="22"/>
        </w:rPr>
        <w:t>(L)</w:t>
      </w:r>
      <w:bookmarkEnd w:id="14"/>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53e33b2318c2431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0dfc67c8bbb74b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71"/>
        <w:gridCol w:w="1329"/>
        <w:gridCol w:w="1329"/>
        <w:gridCol w:w="1262"/>
        <w:gridCol w:w="1280"/>
        <w:gridCol w:w="1262"/>
        <w:gridCol w:w="1262"/>
      </w:tblGrid>
      <w:tr>
        <w:trPr>
          <w:trHeight w:val="102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303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 Created by docx4j 6.1.2 (Apache licensed) using REFERENCE JAXB in Oracle Java 15 on Linux -->
    <w:p>
      <w:pPr>
        <w:pStyle w:val="Heading3"/>
        <w:spacing w:after="199"/>
        <w:ind w:left="120"/>
        <w:jc w:val="left"/>
      </w:pPr>
      <w:bookmarkStart w:name="NMCARS_5207.105" w:id="15"/>
      <w:r>
        <w:rPr>
          <w:rFonts w:ascii="Times New Roman" w:hAnsi="Times New Roman"/>
          <w:color w:val="000000"/>
          <w:sz w:val="31"/>
        </w:rPr>
        <w:t>5207.105</w:t>
      </w:r>
      <w:r>
        <w:rPr>
          <w:rFonts w:ascii="Times New Roman" w:hAnsi="Times New Roman"/>
          <w:color w:val="000000"/>
          <w:sz w:val="31"/>
        </w:rPr>
        <w:t xml:space="preserve"> Contents of written acquisition plans.</w:t>
      </w:r>
      <w:bookmarkEnd w:id="15"/>
    </w:p>
    <w:p>
      <w:pPr>
        <w:pBdr>
          <w:top w:space="5"/>
          <w:left w:space="5"/>
          <w:bottom w:space="5"/>
          <w:right w:space="5"/>
        </w:pBdr>
        <w:spacing w:after="0"/>
        <w:ind w:left="225"/>
        <w:jc w:val="left"/>
      </w:pPr>
      <w:r>
        <w:rPr>
          <w:rFonts w:ascii="Times New Roman" w:hAnsi="Times New Roman"/>
          <w:b w:val="false"/>
          <w:i w:val="false"/>
          <w:color w:val="000000"/>
          <w:sz w:val="22"/>
        </w:rP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Bdr>
          <w:top w:space="5"/>
          <w:left w:space="5"/>
          <w:bottom w:space="5"/>
          <w:right w:space="5"/>
        </w:pBdr>
        <w:spacing w:after="0"/>
        <w:ind w:left="225"/>
        <w:jc w:val="left"/>
      </w:pPr>
      <w:r>
        <w:rPr>
          <w:rFonts w:ascii="Times New Roman" w:hAnsi="Times New Roman"/>
          <w:b w:val="false"/>
          <w:i w:val="false"/>
          <w:color w:val="000000"/>
          <w:sz w:val="22"/>
        </w:rPr>
        <w:t>(S-90) (a) The planner shall submit a PSTRAP, using Annex 17 or Annex 19, when the requirements office chooses to write a single plan for all known program actions.</w:t>
      </w:r>
    </w:p>
    <w:p>
      <w:pPr>
        <w:pBdr>
          <w:top w:space="5"/>
          <w:left w:space="5"/>
          <w:bottom w:space="5"/>
          <w:right w:space="5"/>
        </w:pBdr>
        <w:spacing w:after="0"/>
        <w:ind w:left="585"/>
        <w:jc w:val="left"/>
      </w:pPr>
      <w:r>
        <w:rPr>
          <w:rFonts w:ascii="Times New Roman" w:hAnsi="Times New Roman"/>
          <w:b w:val="false"/>
          <w:i w:val="false"/>
          <w:color w:val="000000"/>
          <w:sz w:val="22"/>
        </w:rPr>
        <w:t>(b) The planner shall submit an ISTRAP, Annex 18 or Annex 20, when there is only one contract, task or delivery order to be covered by the plan.</w:t>
      </w:r>
    </w:p>
    <!-- Created by docx4j 6.1.2 (Apache licensed) using REFERENCE JAXB in Oracle Java 15 on Linux -->
    <w:p>
      <w:pPr>
        <w:pStyle w:val="Heading3"/>
        <w:spacing w:after="199"/>
        <w:ind w:left="120"/>
        <w:jc w:val="left"/>
      </w:pPr>
      <w:bookmarkStart w:name="NMCARS_5207.106" w:id="16"/>
      <w:r>
        <w:rPr>
          <w:rFonts w:ascii="Times New Roman" w:hAnsi="Times New Roman"/>
          <w:color w:val="000000"/>
          <w:sz w:val="31"/>
        </w:rPr>
        <w:t>5207.106</w:t>
      </w:r>
      <w:r>
        <w:rPr>
          <w:rFonts w:ascii="Times New Roman" w:hAnsi="Times New Roman"/>
          <w:color w:val="000000"/>
          <w:sz w:val="31"/>
        </w:rPr>
        <w:t xml:space="preserve"> Additional requirements for major systems.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(S-73) If a waiver request for major system special preservation and tooling is pursued, submit the request for USD(AT&amp;L) approval via DASN(P) by email at </w:t>
      </w:r>
      <w:hyperlink r:id="R68ddb813bc2848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207.106--USD(AT&amp;L) Waiver Request.” All waiver requests shall be signed by the HCA, program manager, CCO, and contracting officer.</w:t>
      </w:r>
    </w:p>
    <!-- Created by docx4j 6.1.2 (Apache licensed) using REFERENCE JAXB in Oracle Java 15 on Linux -->
    <w:p>
      <w:pPr>
        <w:pStyle w:val="Heading3"/>
        <w:spacing w:after="199"/>
        <w:ind w:left="120"/>
        <w:jc w:val="left"/>
      </w:pPr>
      <w:bookmarkStart w:name="NMCARS_5207.107" w:id="17"/>
      <w:r>
        <w:rPr>
          <w:rFonts w:ascii="Times New Roman" w:hAnsi="Times New Roman"/>
          <w:color w:val="000000"/>
          <w:sz w:val="31"/>
        </w:rPr>
        <w:t>5207.107</w:t>
      </w:r>
      <w:r>
        <w:rPr>
          <w:rFonts w:ascii="Times New Roman" w:hAnsi="Times New Roman"/>
          <w:color w:val="000000"/>
          <w:sz w:val="31"/>
        </w:rPr>
        <w:t xml:space="preserve"> Additional requirements for acquisitions involving consolidation, bundling, or substantial bundling.</w:t>
      </w:r>
      <w:bookmarkEnd w:id="1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7.1072" w:id="18"/>
      <w:r>
        <w:rPr>
          <w:rFonts w:ascii="Times New Roman" w:hAnsi="Times New Roman"/>
          <w:i w:val="false"/>
          <w:color w:val="000000"/>
          <w:sz w:val="24"/>
        </w:rPr>
        <w:t>5207.107-2</w:t>
      </w:r>
      <w:r>
        <w:rPr>
          <w:rFonts w:ascii="Times New Roman" w:hAnsi="Times New Roman"/>
          <w:i w:val="false"/>
          <w:color w:val="000000"/>
          <w:sz w:val="24"/>
        </w:rPr>
        <w:t xml:space="preserve"> Consolidation.</w:t>
      </w:r>
      <w:bookmarkEnd w:id="18"/>
    </w:p>
    <w:p>
      <w:pPr>
        <w:pBdr>
          <w:top w:space="5"/>
          <w:left w:space="5"/>
          <w:bottom w:space="5"/>
          <w:right w:space="5"/>
        </w:pBdr>
        <w:spacing w:after="0"/>
        <w:ind w:left="225"/>
        <w:jc w:val="left"/>
      </w:pPr>
      <w:r>
        <w:rPr>
          <w:rFonts w:ascii="Times New Roman" w:hAnsi="Times New Roman"/>
          <w:b w:val="false"/>
          <w:i w:val="false"/>
          <w:color w:val="000000"/>
          <w:sz w:val="22"/>
        </w:rPr>
        <w:t>(e)(2)(i) Approval authority for the determination that use of a consolidated contract is necessary and justified is delegated to—</w:t>
      </w:r>
    </w:p>
    <w:p>
      <w:pPr>
        <w:pBdr>
          <w:top w:space="5"/>
          <w:left w:space="5"/>
          <w:bottom w:space="5"/>
          <w:right w:space="5"/>
        </w:pBdr>
        <w:spacing w:after="0"/>
        <w:ind w:left="585"/>
        <w:jc w:val="left"/>
      </w:pPr>
      <w:r>
        <w:rPr>
          <w:rFonts w:ascii="Times New Roman" w:hAnsi="Times New Roman"/>
          <w:b w:val="false"/>
          <w:i w:val="false"/>
          <w:color w:val="000000"/>
          <w:sz w:val="22"/>
        </w:rPr>
        <w:t xml:space="preserve">(A) DASN(P) when the approval authority for the associated STRAP is DASN(P) or the Navy Senior Services Manager. Submit requests for approval to DASN(P) by email at </w:t>
      </w:r>
      <w:hyperlink r:id="Rf9b9bd4bef1a4b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7.107-2— Consolidation Determination Approval.”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 xml:space="preserve">(B) The HCA for all other actions. The HCA approval authority may be delegated, </w:t>
      </w:r>
      <w:r>
        <w:rPr>
          <w:rFonts w:ascii="Times New Roman" w:hAnsi="Times New Roman"/>
          <w:b w:val="false"/>
          <w:i w:val="false"/>
          <w:color w:val="000000"/>
          <w:sz w:val="22"/>
        </w:rPr>
        <w:t>without</w:t>
      </w:r>
      <w:r>
        <w:rPr>
          <w:rFonts w:ascii="Times New Roman" w:hAnsi="Times New Roman"/>
          <w:b w:val="false"/>
          <w:i w:val="false"/>
          <w:color w:val="000000"/>
          <w:sz w:val="22"/>
        </w:rP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 Created by docx4j 6.1.2 (Apache licensed) using REFERENCE JAXB in Oracle Java 15 on Linux -->
    <w:p>
      <w:pPr>
        <w:pStyle w:val="Heading4"/>
        <w:spacing w:after="269"/>
        <w:ind w:left="120"/>
        <w:jc w:val="left"/>
      </w:pPr>
      <w:bookmarkStart w:name="NMCARS_5207.1073" w:id="19"/>
      <w:r>
        <w:rPr>
          <w:rFonts w:ascii="Times New Roman" w:hAnsi="Times New Roman"/>
          <w:i w:val="false"/>
          <w:color w:val="000000"/>
          <w:sz w:val="24"/>
        </w:rPr>
        <w:t>5207.107-3</w:t>
      </w:r>
      <w:r>
        <w:rPr>
          <w:rFonts w:ascii="Times New Roman" w:hAnsi="Times New Roman"/>
          <w:i w:val="false"/>
          <w:color w:val="000000"/>
          <w:sz w:val="24"/>
        </w:rPr>
        <w:t xml:space="preserve"> Bundling.</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(f)(2)(i) Submit requests for approval with a copy of the approved AS, STRAP, or MOPAS-S via DASN(P) by email at </w:t>
      </w:r>
      <w:hyperlink r:id="R9137e797a5ab41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7.107-3—Bundling Determination Approval.”</w:t>
      </w:r>
    </w:p>
    <!-- Created by docx4j 6.1.2 (Apache licensed) using REFERENCE JAXB in Oracle Java 15 on Linux -->
    <w:p>
      <w:pPr>
        <w:pStyle w:val="Heading2"/>
        <w:spacing w:after="180"/>
        <w:ind w:left="120"/>
        <w:jc w:val="center"/>
      </w:pPr>
      <w:bookmarkStart w:name="NMCARS_SUBPART_5207.2" w:id="20"/>
      <w:r>
        <w:rPr>
          <w:rFonts w:ascii="Times New Roman" w:hAnsi="Times New Roman"/>
          <w:color w:val="000000"/>
          <w:sz w:val="36"/>
        </w:rPr>
        <w:t>Subpart 5207.2</w:t>
      </w:r>
      <w:r>
        <w:rPr>
          <w:rFonts w:ascii="Times New Roman" w:hAnsi="Times New Roman"/>
          <w:color w:val="000000"/>
          <w:sz w:val="36"/>
        </w:rPr>
        <w:t xml:space="preserve"> - PLANNING FOR THE PURCHASE OF SUPPLIES IN ECONOMIC QUANTITIES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204" w:id="21"/>
      <w:r>
        <w:rPr>
          <w:rFonts w:ascii="Times New Roman" w:hAnsi="Times New Roman"/>
          <w:color w:val="000000"/>
          <w:sz w:val="31"/>
        </w:rPr>
        <w:t>5207.204</w:t>
      </w:r>
      <w:r>
        <w:rPr>
          <w:rFonts w:ascii="Times New Roman" w:hAnsi="Times New Roman"/>
          <w:color w:val="000000"/>
          <w:sz w:val="31"/>
        </w:rPr>
        <w:t xml:space="preserve"> Responsibilities of contracting officers.</w:t>
      </w:r>
      <w:bookmarkEnd w:id="21"/>
    </w:p>
    <w:p>
      <w:pPr>
        <w:pBdr>
          <w:top w:space="5"/>
          <w:left w:space="5"/>
          <w:bottom w:space="5"/>
          <w:right w:space="5"/>
        </w:pBdr>
        <w:spacing w:after="0"/>
        <w:ind w:left="225"/>
        <w:jc w:val="left"/>
      </w:pPr>
      <w:r>
        <w:rPr>
          <w:rFonts w:ascii="Times New Roman" w:hAnsi="Times New Roman"/>
          <w:b w:val="false"/>
          <w:i w:val="false"/>
          <w:color w:val="000000"/>
          <w:sz w:val="22"/>
        </w:rPr>
        <w:t>(a) Information provided by offerors in response to this solicitation provision shall be forwarded to the requiring activity for consideration.</w:t>
      </w:r>
    </w:p>
    <!-- Created by docx4j 6.1.2 (Apache licensed) using REFERENCE JAXB in Oracle Java 15 on Linux -->
    <w:p>
      <w:pPr>
        <w:pStyle w:val="Heading2"/>
        <w:spacing w:after="180"/>
        <w:ind w:left="120"/>
        <w:jc w:val="center"/>
      </w:pPr>
      <w:bookmarkStart w:name="NMCARS_SUBPART_5207.5" w:id="22"/>
      <w:r>
        <w:rPr>
          <w:rFonts w:ascii="Times New Roman" w:hAnsi="Times New Roman"/>
          <w:color w:val="000000"/>
          <w:sz w:val="36"/>
        </w:rPr>
        <w:t>Subpart 5207.5</w:t>
      </w:r>
      <w:r>
        <w:rPr>
          <w:rFonts w:ascii="Times New Roman" w:hAnsi="Times New Roman"/>
          <w:color w:val="000000"/>
          <w:sz w:val="36"/>
        </w:rPr>
        <w:t xml:space="preserve"> - INHERENTLY GOVERNMENTAL FUNCTIONS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503" w:id="23"/>
      <w:r>
        <w:rPr>
          <w:rFonts w:ascii="Times New Roman" w:hAnsi="Times New Roman"/>
          <w:color w:val="000000"/>
          <w:sz w:val="31"/>
        </w:rPr>
        <w:t>5207.503</w:t>
      </w:r>
      <w:r>
        <w:rPr>
          <w:rFonts w:ascii="Times New Roman" w:hAnsi="Times New Roman"/>
          <w:color w:val="000000"/>
          <w:sz w:val="31"/>
        </w:rPr>
        <w:t xml:space="preserve"> Policy.</w:t>
      </w:r>
      <w:bookmarkEnd w:id="23"/>
    </w:p>
    <w:p>
      <w:pPr>
        <w:pBdr>
          <w:top w:space="5"/>
          <w:left w:space="5"/>
          <w:bottom w:space="5"/>
          <w:right w:space="5"/>
        </w:pBdr>
        <w:spacing w:after="0"/>
        <w:ind w:left="225"/>
        <w:jc w:val="left"/>
      </w:pPr>
      <w:r>
        <w:rPr>
          <w:rFonts w:ascii="Times New Roman" w:hAnsi="Times New Roman"/>
          <w:b w:val="false"/>
          <w:i w:val="false"/>
          <w:color w:val="000000"/>
          <w:sz w:val="22"/>
        </w:rPr>
        <w:t>(e) Disagreements regarding the requiring official's determination shall be resolved by the CCO before issuance of a solicitation. Advice of counsel shall be obtained.</w:t>
      </w:r>
    </w:p>
    <!-- Created by docx4j 6.1.2 (Apache licensed) using REFERENCE JAXB in Oracle Java 15 on Linux -->
    <w:p>
      <w:pPr>
        <w:pStyle w:val="Heading2"/>
        <w:spacing w:after="180"/>
        <w:ind w:left="120"/>
        <w:jc w:val="center"/>
      </w:pPr>
      <w:bookmarkStart w:name="NMCARS_SUBPART_5207.70" w:id="24"/>
      <w:r>
        <w:rPr>
          <w:rFonts w:ascii="Times New Roman" w:hAnsi="Times New Roman"/>
          <w:color w:val="000000"/>
          <w:sz w:val="36"/>
        </w:rPr>
        <w:t>Subpart 5207.70</w:t>
      </w:r>
      <w:r>
        <w:rPr>
          <w:rFonts w:ascii="Times New Roman" w:hAnsi="Times New Roman"/>
          <w:color w:val="000000"/>
          <w:sz w:val="36"/>
        </w:rPr>
        <w:t xml:space="preserve"> - BUY-TO-BUDGET - ADDITIONAL QUANTITIES OF END ITEMS</w:t>
      </w:r>
      <w:bookmarkEnd w:id="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7002" w:id="25"/>
      <w:r>
        <w:rPr>
          <w:rFonts w:ascii="Times New Roman" w:hAnsi="Times New Roman"/>
          <w:color w:val="000000"/>
          <w:sz w:val="31"/>
        </w:rPr>
        <w:t>5207.7002</w:t>
      </w:r>
      <w:r>
        <w:rPr>
          <w:rFonts w:ascii="Times New Roman" w:hAnsi="Times New Roman"/>
          <w:color w:val="000000"/>
          <w:sz w:val="31"/>
        </w:rPr>
        <w:t xml:space="preserve"> Authority to acquire additional quantities of end items.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Determinations for use of this authority shall be prepared as Determinations and Findings (D&amp;Fs) (see FAR Subpart 1.7) for approval by ASN(RDA). Submit determinations via DASN(P) by email at </w:t>
      </w:r>
      <w:hyperlink r:id="R7393322c49754a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207.7002 - Acquisition of Additional Quantities of End Items D&amp;F Review and Approval.” Proposed determinations shall include a review by the activity comptroller.</w:t>
      </w:r>
    </w:p>
    <w:sectPr>
      <w:pgSz w:w="12240" w:h="15840" w:code="1"/>
      <w:pgMar w:top="1440" w:right="1440" w:bottom="1440" w:left="1440"/>
      <w:pgNumType w:start="1"/>
      <w:footerReference w:type="default" r:id="Rb07ed57ab1534ee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07ed57ab1534ee1" /><Relationship Type="http://schemas.openxmlformats.org/officeDocument/2006/relationships/hyperlink" Target="SUBPART_5207.1.dita#NMCARS_SUBPART_5207.1" TargetMode="External" Id="Rde25875e2e60409a" /><Relationship Type="http://schemas.openxmlformats.org/officeDocument/2006/relationships/hyperlink" Target="5207.103.dita#NMCARS_5207.103" TargetMode="External" Id="Rbc1ce3348dc14ace" /><Relationship Type="http://schemas.openxmlformats.org/officeDocument/2006/relationships/hyperlink" Target="5207.105.dita#NMCARS_5207.105" TargetMode="External" Id="R05d4c2bf0e094f47" /><Relationship Type="http://schemas.openxmlformats.org/officeDocument/2006/relationships/hyperlink" Target="5207.106.dita#NMCARS_5207.106" TargetMode="External" Id="R4ffc3f9087364777" /><Relationship Type="http://schemas.openxmlformats.org/officeDocument/2006/relationships/hyperlink" Target="5207.107.dita#NMCARS_5207.107" TargetMode="External" Id="Rc52892650b9441de" /><Relationship Type="http://schemas.openxmlformats.org/officeDocument/2006/relationships/hyperlink" Target="5207.1072.dita#NMCARS_5207.1072" TargetMode="External" Id="Rd127e629043a44c5" /><Relationship Type="http://schemas.openxmlformats.org/officeDocument/2006/relationships/hyperlink" Target="5207.1073.dita#NMCARS_5207.1073" TargetMode="External" Id="Rf7f35033d0c94c0f" /><Relationship Type="http://schemas.openxmlformats.org/officeDocument/2006/relationships/hyperlink" Target="SUBPART_5207.2.dita#NMCARS_SUBPART_5207.2" TargetMode="External" Id="Ra1a3e73782e346a3" /><Relationship Type="http://schemas.openxmlformats.org/officeDocument/2006/relationships/hyperlink" Target="5207.204.dita#NMCARS_5207.204" TargetMode="External" Id="R0e42e45a5de24b06" /><Relationship Type="http://schemas.openxmlformats.org/officeDocument/2006/relationships/hyperlink" Target="SUBPART_5207.5.dita#NMCARS_SUBPART_5207.5" TargetMode="External" Id="R4fb25cb0454d4c89" /><Relationship Type="http://schemas.openxmlformats.org/officeDocument/2006/relationships/hyperlink" Target="5207.503.dita#NMCARS_5207.503" TargetMode="External" Id="R48f3ad48143d4555" /><Relationship Type="http://schemas.openxmlformats.org/officeDocument/2006/relationships/hyperlink" Target="SUBPART_5207.70.dita#NMCARS_SUBPART_5207.70" TargetMode="External" Id="Rabce755a7ea24331" /><Relationship Type="http://schemas.openxmlformats.org/officeDocument/2006/relationships/hyperlink" Target="5207.7002.dita#NMCARS_5207.7002" TargetMode="External" Id="R1d83df9497b64d29" /><Relationship Type="http://schemas.openxmlformats.org/officeDocument/2006/relationships/hyperlink" Target="mailto:RDAJ&amp;As.fct@navy.mil" TargetMode="External" Id="R53e33b2318c2431a" /><Relationship Type="http://schemas.openxmlformats.org/officeDocument/2006/relationships/hyperlink" Target="mailto:RDAJ&amp;As.fct@navy.mil" TargetMode="External" Id="R0dfc67c8bbb74b75" /><Relationship Type="http://schemas.openxmlformats.org/officeDocument/2006/relationships/hyperlink" Target="mailto:RDAJ&amp;As.fct@navy.mil" TargetMode="External" Id="R68ddb813bc28487f" /><Relationship Type="http://schemas.openxmlformats.org/officeDocument/2006/relationships/hyperlink" Target="mailto:Rdaj&amp;as.fct@navy.mil" TargetMode="External" Id="Rf9b9bd4bef1a4bd7" /><Relationship Type="http://schemas.openxmlformats.org/officeDocument/2006/relationships/hyperlink" Target="mailto:Rdaj&amp;as.fct@navy.mil" TargetMode="External" Id="R9137e797a5ab41ae" /><Relationship Type="http://schemas.openxmlformats.org/officeDocument/2006/relationships/hyperlink" Target="mailto:Rdaj&amp;as.fct@navy.mil" TargetMode="External" Id="R7393322c49754a7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