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 w:id="0"/>
      <w:r>
        <w:rPr>
          <w:rFonts w:ascii="Times New Roman" w:hAnsi="Times New Roman"/>
          <w:color w:val="000000"/>
          <w:sz w:val="48"/>
        </w:rPr>
        <w:t>Part 5217</w:t>
      </w:r>
      <w:r>
        <w:rPr>
          <w:rFonts w:ascii="Times New Roman" w:hAnsi="Times New Roman"/>
          <w:color w:val="000000"/>
          <w:sz w:val="48"/>
        </w:rPr>
        <w:t xml:space="preserve"> - SPECIAL CONTRACTING METHODS</w:t>
      </w:r>
      <w:bookmarkEnd w:id="0"/>
    </w:p>
    <w:p>
      <w:pPr>
        <w:spacing w:after="0"/>
        <w:jc w:val="left"/>
        <w:ind w:left="720" w:hanging="360"/>
      </w:pPr>
      <w:hyperlink w:anchor="NMCARS_SUBPART_5217.1">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5217.105">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5217.1051">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5217.170">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5217.171">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5217.172">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5217.17290">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5217.174">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SUBPART_5217.2">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5217.200">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5217.204">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5217.207">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SUBPART_5217.5">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5217.502">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5217.5021">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5217.5022">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SUBPART_5217.7">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5217.703">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5217.770">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SUBPART_5217.74">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5217.7402">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5217.7404">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5217.74043">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5217.74045">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5217.7405">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SUBPART_5217.1" w:id="1"/>
      <w:r>
        <w:rPr>
          <w:rFonts w:ascii="Times New Roman" w:hAnsi="Times New Roman"/>
          <w:color w:val="000000"/>
          <w:sz w:val="36"/>
        </w:rPr>
        <w:t>Subpart 5217.1</w:t>
      </w:r>
      <w:r>
        <w:rPr>
          <w:rFonts w:ascii="Times New Roman" w:hAnsi="Times New Roman"/>
          <w:color w:val="000000"/>
          <w:sz w:val="36"/>
        </w:rPr>
        <w:t xml:space="preserve"> - MULTI-YEAR CONTRACTING</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105" w:id="2"/>
      <w:r>
        <w:rPr>
          <w:rFonts w:ascii="Times New Roman" w:hAnsi="Times New Roman"/>
          <w:color w:val="000000"/>
          <w:sz w:val="31"/>
        </w:rPr>
        <w:t>5217.105</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1051" w:id="3"/>
      <w:r>
        <w:rPr>
          <w:rFonts w:ascii="Times New Roman" w:hAnsi="Times New Roman"/>
          <w:i w:val="false"/>
          <w:color w:val="000000"/>
          <w:sz w:val="24"/>
        </w:rPr>
        <w:t>5217.105-1</w:t>
      </w:r>
      <w:r>
        <w:rPr>
          <w:rFonts w:ascii="Times New Roman" w:hAnsi="Times New Roman"/>
          <w:i w:val="false"/>
          <w:color w:val="000000"/>
          <w:sz w:val="24"/>
        </w:rPr>
        <w:t xml:space="preserve"> Uses.</w:t>
      </w:r>
      <w:bookmarkEnd w:id="3"/>
    </w:p>
    <w:p>
      <w:pPr>
        <w:pStyle w:val="Normal"/>
        <w:pBdr>
          <w:top w:space="5"/>
          <w:left w:space="5"/>
          <w:bottom w:space="5"/>
          <w:right w:space="5"/>
        </w:pBdr>
        <w:spacing w:after="0"/>
        <w:ind w:left="225"/>
        <w:jc w:val="left"/>
      </w:pPr>
      <w:r>
        <w:rPr>
          <w:rFonts w:ascii="Times New Roman" w:hAnsi="Times New Roman"/>
          <w:color w:val="000000"/>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5217.170" w:id="4"/>
      <w:r>
        <w:rPr>
          <w:rFonts w:ascii="Times New Roman" w:hAnsi="Times New Roman"/>
          <w:color w:val="000000"/>
          <w:sz w:val="31"/>
        </w:rPr>
        <w:t>5217.170</w:t>
      </w:r>
      <w:r>
        <w:rPr>
          <w:rFonts w:ascii="Times New Roman" w:hAnsi="Times New Roman"/>
          <w:color w:val="000000"/>
          <w:sz w:val="31"/>
        </w:rPr>
        <w:t xml:space="preserve"> General.</w:t>
      </w:r>
      <w:bookmarkEnd w:id="4"/>
    </w:p>
    <w:p>
      <w:pPr>
        <w:pStyle w:val="Normal"/>
        <w:pBdr>
          <w:top w:space="5"/>
          <w:left w:space="5"/>
          <w:bottom w:space="5"/>
          <w:right w:space="5"/>
        </w:pBdr>
        <w:spacing w:after="0"/>
        <w:ind w:left="225"/>
        <w:jc w:val="left"/>
      </w:pPr>
      <w:r>
        <w:rPr>
          <w:rFonts w:ascii="Times New Roman" w:hAnsi="Times New Roman"/>
          <w:color w:val="000000"/>
        </w:rPr>
        <w:t xml:space="preserve">(b) HCAs shall submit to DASN(P) the required congressional notification for termination of any multi-year contract by email at </w:t>
      </w:r>
      <w:hyperlink r:id="R169abf1de1224cba">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217.170 – Multiyear Contract Termination - Congressional Notification” following the format prescribed in 5205.303. Email notifications are required to be submitted at least 45 days before termination.</w:t>
      </w:r>
    </w:p>
    <w:p>
      <w:pPr>
        <w:pStyle w:val="Normal"/>
        <w:pBdr>
          <w:top w:space="5"/>
          <w:left w:space="5"/>
          <w:bottom w:space="5"/>
          <w:right w:space="5"/>
        </w:pBdr>
        <w:spacing w:after="0"/>
        <w:ind w:left="225"/>
        <w:jc w:val="left"/>
      </w:pPr>
      <w:r>
        <w:rPr>
          <w:rFonts w:ascii="Times New Roman" w:hAnsi="Times New Roman"/>
          <w:color w:val="000000"/>
        </w:rPr>
        <w:t xml:space="preserve">(d)(4) At least 45 days before contract award, HCAs shall submit to DASN(P) by email at </w:t>
      </w:r>
      <w:hyperlink r:id="Rfc3d0a689a9a4f2e">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5217.171" w:id="5"/>
      <w:r>
        <w:rPr>
          <w:rFonts w:ascii="Times New Roman" w:hAnsi="Times New Roman"/>
          <w:color w:val="000000"/>
          <w:sz w:val="31"/>
        </w:rPr>
        <w:t>5217.171</w:t>
      </w:r>
      <w:r>
        <w:rPr>
          <w:rFonts w:ascii="Times New Roman" w:hAnsi="Times New Roman"/>
          <w:color w:val="000000"/>
          <w:sz w:val="31"/>
        </w:rPr>
        <w:t xml:space="preserve"> Multiyear contracts for services.</w:t>
      </w:r>
      <w:bookmarkEnd w:id="5"/>
    </w:p>
    <w:p>
      <w:pPr>
        <w:pStyle w:val="Normal"/>
        <w:pBdr>
          <w:top w:space="5"/>
          <w:left w:space="5"/>
          <w:bottom w:space="5"/>
          <w:right w:space="5"/>
        </w:pBdr>
        <w:spacing w:after="0"/>
        <w:ind w:left="225"/>
        <w:jc w:val="left"/>
      </w:pPr>
      <w:r>
        <w:rPr>
          <w:rFonts w:ascii="Times New Roman" w:hAnsi="Times New Roman"/>
          <w:color w:val="000000"/>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5217.172" w:id="6"/>
      <w:r>
        <w:rPr>
          <w:rFonts w:ascii="Times New Roman" w:hAnsi="Times New Roman"/>
          <w:color w:val="000000"/>
          <w:sz w:val="31"/>
        </w:rPr>
        <w:t>5217.172</w:t>
      </w:r>
      <w:r>
        <w:rPr>
          <w:rFonts w:ascii="Times New Roman" w:hAnsi="Times New Roman"/>
          <w:color w:val="000000"/>
          <w:sz w:val="31"/>
        </w:rPr>
        <w:t xml:space="preserve"> Multiyear contracts for supplies.</w:t>
      </w:r>
      <w:bookmarkEnd w:id="6"/>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187db8ed5b1b48c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5217.17290" w:id="7"/>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7"/>
    </w:p>
    <w:p>
      <w:pPr>
        <w:pStyle w:val="Normal"/>
        <w:pBdr>
          <w:top w:space="5"/>
          <w:left w:space="5"/>
          <w:bottom w:space="5"/>
          <w:right w:space="5"/>
        </w:pBdr>
        <w:spacing w:after="0"/>
        <w:ind w:left="225"/>
        <w:jc w:val="left"/>
      </w:pPr>
      <w:r>
        <w:rPr>
          <w:rFonts w:ascii="Times New Roman" w:hAnsi="Times New Roman"/>
          <w:color w:val="000000"/>
        </w:rPr>
        <w:t xml:space="preserve">(f)(2) HCAs shall submit a copy of the determinations and findings to </w:t>
      </w:r>
      <w:hyperlink r:id="Rcb0621d455584412">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5217.174" w:id="8"/>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8"/>
    </w:p>
    <w:p>
      <w:pPr>
        <w:pStyle w:val="Normal"/>
        <w:pBdr>
          <w:top w:space="5"/>
          <w:left w:space="5"/>
          <w:bottom w:space="5"/>
          <w:right w:space="5"/>
        </w:pBdr>
        <w:spacing w:after="0"/>
        <w:ind w:left="225"/>
        <w:jc w:val="left"/>
      </w:pPr>
      <w:r>
        <w:rPr>
          <w:rFonts w:ascii="Times New Roman" w:hAnsi="Times New Roman"/>
          <w:color w:val="000000"/>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SUBPART_5217.2" w:id="9"/>
      <w:r>
        <w:rPr>
          <w:rFonts w:ascii="Times New Roman" w:hAnsi="Times New Roman"/>
          <w:color w:val="000000"/>
          <w:sz w:val="36"/>
        </w:rPr>
        <w:t>Subpart 5217.2</w:t>
      </w:r>
      <w:r>
        <w:rPr>
          <w:rFonts w:ascii="Times New Roman" w:hAnsi="Times New Roman"/>
          <w:color w:val="000000"/>
          <w:sz w:val="36"/>
        </w:rPr>
        <w:t xml:space="preserve"> - OPTIONS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200" w:id="10"/>
      <w:r>
        <w:rPr>
          <w:rFonts w:ascii="Times New Roman" w:hAnsi="Times New Roman"/>
          <w:color w:val="000000"/>
          <w:sz w:val="31"/>
        </w:rPr>
        <w:t>5217.200</w:t>
      </w:r>
      <w:r>
        <w:rPr>
          <w:rFonts w:ascii="Times New Roman" w:hAnsi="Times New Roman"/>
          <w:color w:val="000000"/>
          <w:sz w:val="31"/>
        </w:rPr>
        <w:t xml:space="preserve"> Scope of Subpart.</w:t>
      </w:r>
      <w:bookmarkEnd w:id="10"/>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5217.204" w:id="11"/>
      <w:r>
        <w:rPr>
          <w:rFonts w:ascii="Times New Roman" w:hAnsi="Times New Roman"/>
          <w:color w:val="000000"/>
          <w:sz w:val="31"/>
        </w:rPr>
        <w:t>5217.204</w:t>
      </w:r>
      <w:r>
        <w:rPr>
          <w:rFonts w:ascii="Times New Roman" w:hAnsi="Times New Roman"/>
          <w:color w:val="000000"/>
          <w:sz w:val="31"/>
        </w:rPr>
        <w:t xml:space="preserve"> Contracts.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df2a695cb4e146c1">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w:t>
      </w:r>
      <w:r>
        <w:rPr>
          <w:rFonts w:ascii="Times New Roman" w:hAnsi="Times New Roman"/>
          <w:b w:val="false"/>
          <w:i w:val="false"/>
          <w:color w:val="000000"/>
          <w:sz w:val="22"/>
        </w:rPr>
        <w:t>indefinite delivery, indefinite quantity (IDIQ) contracts.</w:t>
      </w:r>
    </w:p>
    <!-- Created by docx4j 6.1.2 (Apache licensed) using REFERENCE JAXB in Oracle Java 15 on Linux -->
    <w:p>
      <w:pPr>
        <w:pStyle w:val="Heading3"/>
        <w:spacing w:after="199"/>
        <w:ind w:left="120"/>
        <w:jc w:val="left"/>
      </w:pPr>
      <w:bookmarkStart w:name="NMCARS_5217.207" w:id="12"/>
      <w:r>
        <w:rPr>
          <w:rFonts w:ascii="Times New Roman" w:hAnsi="Times New Roman"/>
          <w:color w:val="000000"/>
          <w:sz w:val="31"/>
        </w:rPr>
        <w:t>5217.207</w:t>
      </w:r>
      <w:r>
        <w:rPr>
          <w:rFonts w:ascii="Times New Roman" w:hAnsi="Times New Roman"/>
          <w:color w:val="000000"/>
          <w:sz w:val="31"/>
        </w:rPr>
        <w:t xml:space="preserve"> Exercise of Options.</w:t>
      </w:r>
      <w:bookmarkEnd w:id="12"/>
    </w:p>
    <w:p>
      <w:pPr>
        <w:pStyle w:val="Normal"/>
        <w:pBdr>
          <w:top w:space="5"/>
          <w:left w:space="5"/>
          <w:bottom w:space="5"/>
          <w:right w:space="5"/>
        </w:pBdr>
        <w:spacing w:after="0"/>
        <w:ind w:left="225"/>
        <w:jc w:val="left"/>
      </w:pPr>
      <w:r>
        <w:rPr>
          <w:rFonts w:ascii="Times New Roman" w:hAnsi="Times New Roman"/>
          <w:color w:val="000000"/>
        </w:rPr>
        <w:t>(c)(3) SeaPort shall be included in the consideration.</w:t>
      </w:r>
    </w:p>
    <!-- Created by docx4j 6.1.2 (Apache licensed) using REFERENCE JAXB in Oracle Java 15 on Linux -->
    <w:p>
      <w:pPr>
        <w:pStyle w:val="Heading2"/>
        <w:spacing w:after="180"/>
        <w:ind w:left="120"/>
        <w:jc w:val="center"/>
      </w:pPr>
      <w:bookmarkStart w:name="NMCARS_SUBPART_5217.5" w:id="13"/>
      <w:r>
        <w:rPr>
          <w:rFonts w:ascii="Times New Roman" w:hAnsi="Times New Roman"/>
          <w:color w:val="000000"/>
          <w:sz w:val="36"/>
        </w:rPr>
        <w:t>Subpart 5217.5</w:t>
      </w:r>
      <w:r>
        <w:rPr>
          <w:rFonts w:ascii="Times New Roman" w:hAnsi="Times New Roman"/>
          <w:color w:val="000000"/>
          <w:sz w:val="36"/>
        </w:rPr>
        <w:t xml:space="preserve"> - INTERAGENCY ACQUISITIONS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502" w:id="14"/>
      <w:r>
        <w:rPr>
          <w:rFonts w:ascii="Times New Roman" w:hAnsi="Times New Roman"/>
          <w:color w:val="000000"/>
          <w:sz w:val="31"/>
        </w:rPr>
        <w:t>5217.502</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5021" w:id="15"/>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15"/>
    </w:p>
    <w:p>
      <w:pPr>
        <w:pStyle w:val="Normal"/>
        <w:pBdr>
          <w:top w:space="5"/>
          <w:left w:space="5"/>
          <w:bottom w:space="5"/>
          <w:right w:space="5"/>
        </w:pBdr>
        <w:spacing w:after="0"/>
        <w:ind w:left="225"/>
        <w:jc w:val="left"/>
      </w:pPr>
      <w:r>
        <w:rPr>
          <w:rFonts w:ascii="Times New Roman" w:hAnsi="Times New Roman"/>
          <w:color w:val="000000"/>
        </w:rPr>
        <w:t xml:space="preserve">(b) Prior to release of the solicitation and following coordination with the Director OSBP, HCAs shall submit Part 1 of the BCA to DASN(P) by email at </w:t>
      </w:r>
      <w:hyperlink r:id="Rc60565e5547b4c54">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5217.5022" w:id="16"/>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16"/>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Acquisitions conducted under the authority of the Project Order Act, 41 U.S.C. Section 23; </w:t>
      </w:r>
      <w:r>
        <w:rPr>
          <w:rFonts w:ascii="Times New Roman" w:hAnsi="Times New Roman"/>
          <w:b w:val="false"/>
          <w:i w:val="false"/>
          <w:color w:val="000000"/>
          <w:sz w:val="22"/>
        </w:rPr>
        <w:t>and</w:t>
      </w:r>
    </w:p>
    <w:p>
      <w:pPr>
        <w:pBdr>
          <w:top w:space="5"/>
          <w:left w:space="5"/>
          <w:bottom w:space="5"/>
          <w:right w:space="5"/>
        </w:pBdr>
        <w:spacing w:after="0"/>
        <w:ind w:left="585"/>
        <w:jc w:val="left"/>
      </w:pPr>
      <w:r>
        <w:rPr>
          <w:rFonts w:ascii="Times New Roman" w:hAnsi="Times New Roman"/>
          <w:b w:val="false"/>
          <w:i w:val="false"/>
          <w:color w:val="000000"/>
          <w:sz w:val="22"/>
        </w:rPr>
        <w:t>(4)</w:t>
      </w:r>
      <w:r>
        <w:rPr>
          <w:rFonts w:ascii="Times New Roman" w:hAnsi="Times New Roman"/>
          <w:b w:val="false"/>
          <w:i w:val="false"/>
          <w:color w:val="000000"/>
          <w:sz w:val="22"/>
        </w:rPr>
        <w:t xml:space="preserve">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 xml:space="preserve">(c)(1) </w:t>
      </w:r>
      <w:r>
        <w:rPr>
          <w:rFonts w:ascii="Times New Roman" w:hAnsi="Times New Roman"/>
          <w:b w:val="false"/>
          <w:i w:val="false"/>
          <w:color w:val="000000"/>
          <w:sz w:val="22"/>
        </w:rPr>
        <w:t>Notwithstanding FAR 17.502-2(c), a D&amp;F for acquisitions under the Economy Act is not required from a requesting DOD component, if there is a support agreement between the DON and that DOD component for the acquisition that complies with DoDI 4000.19, “Support Agreements”.</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 xml:space="preserve">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d0092c63aebc4ac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3476a91b44494f12">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4d55aaaa586c46f8">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17.7" w:id="17"/>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03" w:id="18"/>
      <w:r>
        <w:rPr>
          <w:rFonts w:ascii="Times New Roman" w:hAnsi="Times New Roman"/>
          <w:color w:val="000000"/>
          <w:sz w:val="31"/>
        </w:rPr>
        <w:t>5217.703</w:t>
      </w:r>
      <w:r>
        <w:rPr>
          <w:rFonts w:ascii="Times New Roman" w:hAnsi="Times New Roman"/>
          <w:color w:val="000000"/>
          <w:sz w:val="31"/>
        </w:rPr>
        <w:t xml:space="preserve"> Policy.</w:t>
      </w:r>
      <w:bookmarkEnd w:id="18"/>
    </w:p>
    <w:p>
      <w:pPr>
        <w:pStyle w:val="Normal"/>
        <w:pBdr>
          <w:top w:space="5"/>
          <w:left w:space="5"/>
          <w:bottom w:space="5"/>
          <w:right w:space="5"/>
        </w:pBdr>
        <w:spacing w:after="0"/>
        <w:ind w:left="225"/>
        <w:jc w:val="left"/>
      </w:pPr>
      <w:r>
        <w:rPr>
          <w:rFonts w:ascii="Times New Roman" w:hAnsi="Times New Roman"/>
          <w:color w:val="000000"/>
        </w:rPr>
        <w:t xml:space="preserve">(c) Submit nondefense agency certifications of compliance to DPC within 40 days of the beginning of the fiscal year via DASN(P) by email at </w:t>
      </w:r>
      <w:hyperlink r:id="Rbd19635f090b4fe7">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17.703 - Annual Nondefense Agency Certifications Report.”</w:t>
      </w:r>
    </w:p>
    <w:p>
      <w:pPr>
        <w:pStyle w:val="Normal"/>
        <w:pBdr>
          <w:top w:space="5"/>
          <w:left w:space="5"/>
          <w:bottom w:space="5"/>
          <w:right w:space="5"/>
        </w:pBdr>
        <w:spacing w:after="0"/>
        <w:ind w:left="225"/>
        <w:jc w:val="left"/>
      </w:pPr>
      <w:r>
        <w:rPr>
          <w:rFonts w:ascii="Times New Roman" w:hAnsi="Times New Roman"/>
          <w:color w:val="000000"/>
        </w:rPr>
        <w:t xml:space="preserve">(e) The HCA is the approval authority, without power of redelegation, for written determinations. Submit a copy of the signed written determination to DASN(P) by email at </w:t>
      </w:r>
      <w:hyperlink r:id="R63a77adf47fa4f2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5217.770" w:id="19"/>
      <w:r>
        <w:rPr>
          <w:rFonts w:ascii="Times New Roman" w:hAnsi="Times New Roman"/>
          <w:color w:val="000000"/>
          <w:sz w:val="31"/>
        </w:rPr>
        <w:t>5217.770</w:t>
      </w:r>
      <w:r>
        <w:rPr>
          <w:rFonts w:ascii="Times New Roman" w:hAnsi="Times New Roman"/>
          <w:color w:val="000000"/>
          <w:sz w:val="31"/>
        </w:rPr>
        <w:t xml:space="preserve">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SUBPART_5217.74" w:id="20"/>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402" w:id="21"/>
      <w:r>
        <w:rPr>
          <w:rFonts w:ascii="Times New Roman" w:hAnsi="Times New Roman"/>
          <w:color w:val="000000"/>
          <w:sz w:val="31"/>
        </w:rPr>
        <w:t>5217.7402</w:t>
      </w:r>
      <w:r>
        <w:rPr>
          <w:rFonts w:ascii="Times New Roman" w:hAnsi="Times New Roman"/>
          <w:color w:val="000000"/>
          <w:sz w:val="31"/>
        </w:rPr>
        <w:t xml:space="preserve"> Exceptions.</w:t>
      </w:r>
      <w:bookmarkEnd w:id="21"/>
    </w:p>
    <w:p>
      <w:pPr>
        <w:pStyle w:val="Normal"/>
        <w:pBdr>
          <w:top w:space="5"/>
          <w:left w:space="5"/>
          <w:bottom w:space="5"/>
          <w:right w:space="5"/>
        </w:pBdr>
        <w:spacing w:after="0"/>
        <w:ind w:left="225"/>
        <w:jc w:val="left"/>
      </w:pPr>
      <w:r>
        <w:rPr>
          <w:rFonts w:ascii="Times New Roman" w:hAnsi="Times New Roman"/>
          <w:color w:val="000000"/>
        </w:rPr>
        <w:t xml:space="preserve">(b) Submit the required advance notification to the Director, DPC via DASN(P) by email at </w:t>
      </w:r>
      <w:hyperlink r:id="R909bbbd2fd5d428c">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5217.7404" w:id="22"/>
      <w:r>
        <w:rPr>
          <w:rFonts w:ascii="Times New Roman" w:hAnsi="Times New Roman"/>
          <w:color w:val="000000"/>
          <w:sz w:val="31"/>
        </w:rPr>
        <w:t>5217.7404</w:t>
      </w:r>
      <w:r>
        <w:rPr>
          <w:rFonts w:ascii="Times New Roman" w:hAnsi="Times New Roman"/>
          <w:color w:val="000000"/>
          <w:sz w:val="31"/>
        </w:rPr>
        <w:t xml:space="preserve"> Limitations.</w:t>
      </w:r>
      <w:bookmarkEnd w:id="2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74043" w:id="23"/>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23"/>
    </w:p>
    <w:p>
      <w:pPr>
        <w:pStyle w:val="Normal"/>
        <w:pBdr>
          <w:top w:space="5"/>
          <w:left w:space="5"/>
          <w:bottom w:space="5"/>
          <w:right w:space="5"/>
        </w:pBdr>
        <w:spacing w:after="0"/>
        <w:ind w:left="225"/>
        <w:jc w:val="left"/>
      </w:pPr>
      <w:r>
        <w:rPr>
          <w:rFonts w:ascii="Times New Roman" w:hAnsi="Times New Roman"/>
          <w:color w:val="000000"/>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r>
        <w:rPr>
          <w:rFonts w:ascii="Times New Roman" w:hAnsi="Times New Roman"/>
          <w:b/>
          <w:i w:val="false"/>
          <w:color w:val="000000"/>
          <w:sz w:val="24"/>
        </w:rPr>
        <w:t>5217.7404-5</w:t>
      </w:r>
      <w:r>
        <w:rPr>
          <w:rFonts w:ascii="Times New Roman" w:hAnsi="Times New Roman"/>
          <w:b/>
          <w:i w:val="false"/>
          <w:color w:val="000000"/>
          <w:sz w:val="24"/>
        </w:rPr>
        <w:t xml:space="preserve"> Exceptions.</w:t>
      </w:r>
    </w:p>
    <w:p>
      <w:pPr>
        <w:pStyle w:val="Normal"/>
        <w:pBdr>
          <w:top w:space="5"/>
          <w:left w:space="5"/>
          <w:bottom w:space="5"/>
          <w:right w:space="5"/>
        </w:pBdr>
        <w:spacing w:after="0"/>
        <w:ind w:left="225"/>
        <w:jc w:val="left"/>
      </w:pPr>
      <w:r>
        <w:rPr>
          <w:rFonts w:ascii="Times New Roman" w:hAnsi="Times New Roman"/>
          <w:color w:val="000000"/>
        </w:rPr>
        <w:t xml:space="preserve">(b) Submit requests for waivers of limitations on UCAs to DASN(P) by email at </w:t>
      </w:r>
      <w:hyperlink r:id="Rbf294160b27e478e">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5217.7405" w:id="24"/>
      <w:r>
        <w:rPr>
          <w:rFonts w:ascii="Times New Roman" w:hAnsi="Times New Roman"/>
          <w:color w:val="000000"/>
          <w:sz w:val="31"/>
        </w:rPr>
        <w:t>5217.7405</w:t>
      </w:r>
      <w:r>
        <w:rPr>
          <w:rFonts w:ascii="Times New Roman" w:hAnsi="Times New Roman"/>
          <w:color w:val="000000"/>
          <w:sz w:val="31"/>
        </w:rPr>
        <w:t xml:space="preserve"> Plans and Reports.</w:t>
      </w:r>
      <w:bookmarkEnd w:id="24"/>
    </w:p>
    <w:p>
      <w:pPr>
        <w:pStyle w:val="Normal"/>
        <w:pBdr>
          <w:top w:space="5"/>
          <w:left w:space="5"/>
          <w:bottom w:space="5"/>
          <w:right w:space="5"/>
        </w:pBdr>
        <w:spacing w:after="0"/>
        <w:ind w:left="225"/>
        <w:jc w:val="left"/>
      </w:pPr>
      <w:r>
        <w:rPr>
          <w:rFonts w:ascii="Times New Roman" w:hAnsi="Times New Roman"/>
          <w:color w:val="000000"/>
        </w:rPr>
        <w:t>(a)(2) HCAs shall submit by April 15 and October 15 a Consolidated Undefinitized Contract Action (UCA) Management Report, identifying each UCA and unpriced change order with an estimated value of more than $5 million.</w:t>
      </w:r>
    </w:p>
    <w:p>
      <w:pPr>
        <w:pStyle w:val="Normal"/>
        <w:pBdr>
          <w:top w:space="5"/>
          <w:left w:space="5"/>
          <w:bottom w:space="5"/>
          <w:right w:space="5"/>
        </w:pBdr>
        <w:spacing w:after="0"/>
        <w:ind w:left="225"/>
        <w:jc w:val="left"/>
      </w:pPr>
      <w:r>
        <w:rPr>
          <w:rFonts w:ascii="Times New Roman" w:hAnsi="Times New Roman"/>
          <w:color w:val="000000"/>
        </w:rPr>
        <w:t xml:space="preserve">(b) In the format prescribed at Annex 6, submit the required UCA report to DASN(P) by email at </w:t>
      </w:r>
      <w:hyperlink r:id="Rabc890df475f426d">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“DFARS 217.7405 - UCA Management Report” followed by the applicable reporting period/year (e.g. UCA Management Report: April 15, 2014).</w:t>
      </w:r>
    </w:p>
    <w:sectPr>
      <w:pgSz w:w="12240" w:h="15840" w:code="1"/>
      <w:pgMar w:top="1440" w:right="1440" w:bottom="1440" w:left="1440"/>
      <w:pgNumType w:start="1"/>
      <w:footerReference w:type="default" r:id="R9af707e729fb4e7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af707e729fb4e7b" /><Relationship Type="http://schemas.openxmlformats.org/officeDocument/2006/relationships/hyperlink" Target="SUBPART_5217.1.dita#NMCARS_SUBPART_5217.1" TargetMode="External" Id="R5cce3e72de294cc3" /><Relationship Type="http://schemas.openxmlformats.org/officeDocument/2006/relationships/hyperlink" Target="5217.105.dita#NMCARS_5217.105" TargetMode="External" Id="Rff093c70b68c4a75" /><Relationship Type="http://schemas.openxmlformats.org/officeDocument/2006/relationships/hyperlink" Target="5217.1051.dita#NMCARS_5217.1051" TargetMode="External" Id="Ra9b7d41b51334289" /><Relationship Type="http://schemas.openxmlformats.org/officeDocument/2006/relationships/hyperlink" Target="5217.170.dita#NMCARS_5217.170" TargetMode="External" Id="R8db11a5cb5454b04" /><Relationship Type="http://schemas.openxmlformats.org/officeDocument/2006/relationships/hyperlink" Target="5217.171.dita#NMCARS_5217.171" TargetMode="External" Id="R8acae6080c0c4815" /><Relationship Type="http://schemas.openxmlformats.org/officeDocument/2006/relationships/hyperlink" Target="5217.172.dita#NMCARS_5217.172" TargetMode="External" Id="R87db9d8065f9497a" /><Relationship Type="http://schemas.openxmlformats.org/officeDocument/2006/relationships/hyperlink" Target="5217.17290.dita#NMCARS_5217.17290" TargetMode="External" Id="R4e66bf7511a2406c" /><Relationship Type="http://schemas.openxmlformats.org/officeDocument/2006/relationships/hyperlink" Target="5217.174.dita#NMCARS_5217.174" TargetMode="External" Id="R3ffce34c11934bfd" /><Relationship Type="http://schemas.openxmlformats.org/officeDocument/2006/relationships/hyperlink" Target="SUBPART_5217.2.dita#NMCARS_SUBPART_5217.2" TargetMode="External" Id="R038a8dae88ca4cf1" /><Relationship Type="http://schemas.openxmlformats.org/officeDocument/2006/relationships/hyperlink" Target="5217.200.dita#NMCARS_5217.200" TargetMode="External" Id="Ra6113927432d41c9" /><Relationship Type="http://schemas.openxmlformats.org/officeDocument/2006/relationships/hyperlink" Target="5217.204.dita#NMCARS_5217.204" TargetMode="External" Id="R66b6646685c54461" /><Relationship Type="http://schemas.openxmlformats.org/officeDocument/2006/relationships/hyperlink" Target="5217.207.dita#NMCARS_5217.207" TargetMode="External" Id="R7faa8afe8cdf4733" /><Relationship Type="http://schemas.openxmlformats.org/officeDocument/2006/relationships/hyperlink" Target="SUBPART_5217.5.dita#NMCARS_SUBPART_5217.5" TargetMode="External" Id="R2f53f0e7ac5e4a0a" /><Relationship Type="http://schemas.openxmlformats.org/officeDocument/2006/relationships/hyperlink" Target="5217.502.dita#NMCARS_5217.502" TargetMode="External" Id="R338dbadcf54749bc" /><Relationship Type="http://schemas.openxmlformats.org/officeDocument/2006/relationships/hyperlink" Target="5217.5021.dita#NMCARS_5217.5021" TargetMode="External" Id="Reb442815e46b475e" /><Relationship Type="http://schemas.openxmlformats.org/officeDocument/2006/relationships/hyperlink" Target="5217.5022.dita#NMCARS_5217.5022" TargetMode="External" Id="R044bf83022f44184" /><Relationship Type="http://schemas.openxmlformats.org/officeDocument/2006/relationships/hyperlink" Target="SUBPART_5217.7.dita#NMCARS_SUBPART_5217.7" TargetMode="External" Id="R2abfcd75c0bb479e" /><Relationship Type="http://schemas.openxmlformats.org/officeDocument/2006/relationships/hyperlink" Target="5217.703.dita#NMCARS_5217.703" TargetMode="External" Id="R38990290597c4444" /><Relationship Type="http://schemas.openxmlformats.org/officeDocument/2006/relationships/hyperlink" Target="5217.770.dita#NMCARS_5217.770" TargetMode="External" Id="R60513fb2e1e448b4" /><Relationship Type="http://schemas.openxmlformats.org/officeDocument/2006/relationships/hyperlink" Target="SUBPART_5217.74.dita#NMCARS_SUBPART_5217.74" TargetMode="External" Id="Ra60f8d22f1ca4ab6" /><Relationship Type="http://schemas.openxmlformats.org/officeDocument/2006/relationships/hyperlink" Target="5217.7402.dita#NMCARS_5217.7402" TargetMode="External" Id="Rc9f163312192479d" /><Relationship Type="http://schemas.openxmlformats.org/officeDocument/2006/relationships/hyperlink" Target="5217.7404.dita#NMCARS_5217.7404" TargetMode="External" Id="R3314634c044841bd" /><Relationship Type="http://schemas.openxmlformats.org/officeDocument/2006/relationships/hyperlink" Target="5217.74043.dita#NMCARS_5217.74043" TargetMode="External" Id="Rff98c8ad405f45cb" /><Relationship Type="http://schemas.openxmlformats.org/officeDocument/2006/relationships/hyperlink" Target="5217.74045.dita#NMCARS_5217.74045" TargetMode="External" Id="Ra88d3e6b8dc74d54" /><Relationship Type="http://schemas.openxmlformats.org/officeDocument/2006/relationships/hyperlink" Target="5217.7405.dita#NMCARS_5217.7405" TargetMode="External" Id="R30d71f293e0f4e89" /><Relationship Type="http://schemas.openxmlformats.org/officeDocument/2006/relationships/hyperlink" Target="mailto:usn.pentagon.asstsecnavrdadc.mbx.pabt@us.navy.mil" TargetMode="External" Id="R169abf1de1224cba" /><Relationship Type="http://schemas.openxmlformats.org/officeDocument/2006/relationships/hyperlink" Target="mailto:usn.pentagon.asstsecnavrdadc.mbx.pabt@us.navy.mil" TargetMode="External" Id="Rfc3d0a689a9a4f2e" /><Relationship Type="http://schemas.openxmlformats.org/officeDocument/2006/relationships/hyperlink" Target="mailto:usn.pentagon.asstsecnavrdadc.mbx.pabt@us.navy.mil" TargetMode="External" Id="R187db8ed5b1b48c0" /><Relationship Type="http://schemas.openxmlformats.org/officeDocument/2006/relationships/hyperlink" Target="mailto:usn.pentagon.asstsecnavrdadc.mbx.pabt@us.navy.mil" TargetMode="External" Id="Rcb0621d455584412" /><Relationship Type="http://schemas.openxmlformats.org/officeDocument/2006/relationships/hyperlink" Target="mailto:usn.pentagon.asstsecnavrdadc.mbx.pabt@us.navy.mil" TargetMode="External" Id="Rdf2a695cb4e146c1" /><Relationship Type="http://schemas.openxmlformats.org/officeDocument/2006/relationships/hyperlink" Target="mailto:usn.pentagon.asstsecnavrdadc.mbx.pabt@us.navy.mil" TargetMode="External" Id="Rc60565e5547b4c54" /><Relationship Type="http://schemas.openxmlformats.org/officeDocument/2006/relationships/hyperlink" Target="mailto:usn.pentagon.asstsecnavrdadc.mbx.pabt@us.navy.mil" TargetMode="External" Id="Rd0092c63aebc4ac4" /><Relationship Type="http://schemas.openxmlformats.org/officeDocument/2006/relationships/hyperlink" Target="mailto:usn.pentagon.asstsecnavrdadc.mbx.pabt@us.navy.mil" TargetMode="External" Id="R3476a91b44494f12" /><Relationship Type="http://schemas.openxmlformats.org/officeDocument/2006/relationships/hyperlink" Target="mailto:usn.pentagon.asstsecnavrdadc.mbx.pabt@us.navy.mil" TargetMode="External" Id="R4d55aaaa586c46f8" /><Relationship Type="http://schemas.openxmlformats.org/officeDocument/2006/relationships/hyperlink" Target="mailto:usn.pentagon.asstsecnavrdadc.mbx.pabt@us.navy.mil" TargetMode="External" Id="Rbd19635f090b4fe7" /><Relationship Type="http://schemas.openxmlformats.org/officeDocument/2006/relationships/hyperlink" Target="mailto:usn.pentagon.asstsecnavrdadc.mbx.pabt@us.navy.mil" TargetMode="External" Id="R63a77adf47fa4f2c" /><Relationship Type="http://schemas.openxmlformats.org/officeDocument/2006/relationships/hyperlink" Target="mailto:usn.pentagon.asstsecnavrdadc.mbx.pabt@us.navy.mil" TargetMode="External" Id="R909bbbd2fd5d428c" /><Relationship Type="http://schemas.openxmlformats.org/officeDocument/2006/relationships/hyperlink" Target="mailto:usn.pentagon.asstsecnavrdadc.mbx.pabt@us.navy.mil" TargetMode="External" Id="Rbf294160b27e478e" /><Relationship Type="http://schemas.openxmlformats.org/officeDocument/2006/relationships/hyperlink" Target="mailto:Policy@navy.mil" TargetMode="External" Id="Rabc890df475f426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