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1" w:id="0"/>
      <w:r>
        <w:rPr>
          <w:rFonts w:ascii="Times New Roman" w:hAnsi="Times New Roman"/>
          <w:color w:val="000000"/>
        </w:rPr>
        <w:t>Part 5231</w:t>
      </w:r>
      <w:r>
        <w:rPr>
          <w:rFonts w:ascii="Times New Roman" w:hAnsi="Times New Roman"/>
          <w:color w:val="000000"/>
        </w:rPr>
        <w:t xml:space="preserve"> - CONTRACT COST PRINCIPLES AND PROCEDURES</w:t>
      </w:r>
      <w:bookmarkEnd w:id="0"/>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1"/>
      <w:r>
        <w:rPr>
          <w:rFonts w:ascii="Times New Roman" w:hAnsi="Times New Roman"/>
          <w:color w:val="000000"/>
          <w:sz w:val="36"/>
        </w:rPr>
        <w:t>Subpart 5231.1</w:t>
      </w:r>
      <w:r>
        <w:rPr>
          <w:rFonts w:ascii="Times New Roman" w:hAnsi="Times New Roman"/>
          <w:color w:val="000000"/>
          <w:sz w:val="36"/>
        </w:rPr>
        <w:t xml:space="preserve"> - APPLICABILITY</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2"/>
      <w:r>
        <w:rPr>
          <w:rFonts w:ascii="Times New Roman" w:hAnsi="Times New Roman"/>
          <w:color w:val="000000"/>
          <w:sz w:val="31"/>
        </w:rPr>
        <w:t>5231.109</w:t>
      </w:r>
      <w:r>
        <w:rPr>
          <w:rFonts w:ascii="Times New Roman" w:hAnsi="Times New Roman"/>
          <w:color w:val="000000"/>
          <w:sz w:val="31"/>
        </w:rPr>
        <w:t xml:space="preserve"> Advance agreements.</w:t>
      </w:r>
      <w:bookmarkEnd w:id="2"/>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9d882dedc8cd4cb3">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3"/>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
      <w:r>
        <w:rPr>
          <w:rFonts w:ascii="Times New Roman" w:hAnsi="Times New Roman"/>
          <w:color w:val="000000"/>
          <w:sz w:val="31"/>
        </w:rPr>
        <w:t>5231.205</w:t>
      </w:r>
      <w:r>
        <w:rPr>
          <w:rFonts w:ascii="Times New Roman" w:hAnsi="Times New Roman"/>
          <w:color w:val="000000"/>
          <w:sz w:val="31"/>
        </w:rPr>
        <w:t xml:space="preserve"> Selected costs.</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5"/>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6"/>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6"/>
    </w:p>
    <w:p>
      <w:pPr>
        <w:pStyle w:val="Normal"/>
        <w:pBdr>
          <w:top w:space="5"/>
          <w:left w:space="5"/>
          <w:bottom w:space="5"/>
          <w:right w:space="5"/>
        </w:pBdr>
        <w:spacing w:after="0"/>
        <w:ind w:left="225"/>
        <w:jc w:val="left"/>
      </w:pPr>
      <w:r>
        <w:rPr>
          <w:rFonts w:ascii="Times New Roman" w:hAnsi="Times New Roman"/>
          <w:color w:val="000000"/>
        </w:rPr>
        <w:t xml:space="preserve">Submit annual reports for DoD Waivers of the Contractor Employee Compensation Cap to DASN(P) no later than October 31 by email at </w:t>
      </w:r>
      <w:hyperlink r:id="Rad6c640cd4e240ef">
        <w:r>
          <w:rPr>
            <w:rStyle w:val="Hyperlink"/>
            <w:rFonts w:ascii="Times New Roman" w:hAnsi="Times New Roman"/>
            <w:color w:val="0000ff"/>
            <w:u w:val="single"/>
          </w:rPr>
          <w:t>usn.pentagon.asstsecnavrdadc.mbx.pabt@us.navy.mil</w:t>
        </w:r>
      </w:hyperlink>
      <w:r>
        <w:rPr>
          <w:rFonts w:ascii="Times New Roman" w:hAnsi="Times New Roman"/>
          <w:color w:val="000000"/>
        </w:rPr>
        <w:t xml:space="preserve"> with the subject “[Activity Name] NMCARS 5231.205-91 DoD Waivers of the Contractor Employee Compensation Cap” using the reporting guidance provided in Annex 23.</w:t>
      </w:r>
    </w:p>
    <w:sectPr>
      <w:pgSz w:w="12240" w:h="15840" w:code="1"/>
      <w:pgMar w:top="1440" w:right="1440" w:bottom="1440" w:left="1440"/>
      <w:pgNumType w:start="1"/>
      <w:footerReference w:type="default" r:id="R6eadfa08c40047a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adfa08c40047a9" /><Relationship Type="http://schemas.openxmlformats.org/officeDocument/2006/relationships/hyperlink" Target="SUBPART_5231.1.dita#NMCARS_SUBPART_5231.1" TargetMode="External" Id="R478296e770c444de" /><Relationship Type="http://schemas.openxmlformats.org/officeDocument/2006/relationships/hyperlink" Target="5231.109.dita#NMCARS_5231.109" TargetMode="External" Id="R90e09d2aa0db4638" /><Relationship Type="http://schemas.openxmlformats.org/officeDocument/2006/relationships/hyperlink" Target="SUBPART_5231.2.dita#NMCARS_SUBPART_5231.2" TargetMode="External" Id="R10026bb4a48a4841" /><Relationship Type="http://schemas.openxmlformats.org/officeDocument/2006/relationships/hyperlink" Target="5231.205.dita#NMCARS_5231.205" TargetMode="External" Id="R5c24ee39fe0c4ac7" /><Relationship Type="http://schemas.openxmlformats.org/officeDocument/2006/relationships/hyperlink" Target="5231.20590.dita#NMCARS_5231.20590" TargetMode="External" Id="Rf748b562d81a4f55" /><Relationship Type="http://schemas.openxmlformats.org/officeDocument/2006/relationships/hyperlink" Target="5231.20591.dita#NMCARS_5231.20591" TargetMode="External" Id="Rb9b9b6f34ccf4dce" /><Relationship Type="http://schemas.openxmlformats.org/officeDocument/2006/relationships/hyperlink" Target="mailto:usn.pentagon.asstsecnavrdadc.mbx.pabt@us.navy.mil" TargetMode="External" Id="R9d882dedc8cd4cb3" /><Relationship Type="http://schemas.openxmlformats.org/officeDocument/2006/relationships/hyperlink" Target="mailto:usn.pentagon.asstsecnavrdadc.mbx.pabt@us.navy.mil" TargetMode="External" Id="Rad6c640cd4e240e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