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2" w:id="0"/>
      <w:r>
        <w:rPr>
          <w:rFonts w:ascii="Times New Roman" w:hAnsi="Times New Roman"/>
          <w:color w:val="000000"/>
        </w:rPr>
        <w:t>Part 5242</w:t>
      </w:r>
      <w:r>
        <w:rPr>
          <w:rFonts w:ascii="Times New Roman" w:hAnsi="Times New Roman"/>
          <w:color w:val="000000"/>
        </w:rPr>
        <w:t xml:space="preserve"> - CONTRACT ADMINISTRATION AND AUDIT SERVICES</w:t>
      </w:r>
      <w:bookmarkEnd w:id="0"/>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w:p>
      <w:pPr>
        <w:spacing w:after="0"/>
        <w:jc w:val="left"/>
        <w:ind w:left="720" w:hanging="360"/>
      </w:pPr>
      <w:hyperlink w:anchor="NMCARS_SUBPART_5242.11">
        <w:r>
          <w:rPr>
            <w:rStyle w:val="Hyperlink"/>
            <w:rFonts w:ascii="Times New Roman" w:hAnsi="Times New Roman"/>
            <w:b w:val="false"/>
            <w:i w:val="false"/>
            <w:color w:val="0000ff"/>
            <w:sz w:val="22"/>
            <w:u w:val="single"/>
          </w:rPr>
          <w:t>Subpart 5242.11 - PRODUCTION SURVEILLANCE AND REPORTING</w:t>
        </w:r>
      </w:hyperlink>
    </w:p>
    <w:p>
      <w:pPr>
        <w:spacing w:after="0"/>
        <w:jc w:val="left"/>
        <w:ind w:left="1440" w:hanging="360"/>
      </w:pPr>
      <w:hyperlink w:anchor="NMCARS_5242.1105">
        <w:r>
          <w:rPr>
            <w:rStyle w:val="Hyperlink"/>
            <w:rFonts w:ascii="Times New Roman" w:hAnsi="Times New Roman"/>
            <w:b w:val="false"/>
            <w:i w:val="false"/>
            <w:color w:val="0000ff"/>
            <w:sz w:val="22"/>
            <w:u w:val="single"/>
          </w:rPr>
          <w:t>5242.1105 Assignment of criticality designator.</w:t>
        </w:r>
      </w:hyperlink>
    </w:p>
    <!-- Created by docx4j 6.1.2 (Apache licensed) using REFERENCE JAXB in Oracle Java 15 on Linux -->
    <w:p>
      <w:pPr>
        <w:pStyle w:val="Heading2"/>
        <w:spacing w:after="180"/>
        <w:ind w:left="120"/>
        <w:jc w:val="center"/>
      </w:pPr>
      <w:bookmarkStart w:name="NMCARS_SUBPART_5242.1" w:id="1"/>
      <w:r>
        <w:rPr>
          <w:rFonts w:ascii="Times New Roman" w:hAnsi="Times New Roman"/>
          <w:color w:val="000000"/>
          <w:sz w:val="36"/>
        </w:rPr>
        <w:t>Subpart 5242.1</w:t>
      </w:r>
      <w:r>
        <w:rPr>
          <w:rFonts w:ascii="Times New Roman" w:hAnsi="Times New Roman"/>
          <w:color w:val="000000"/>
          <w:sz w:val="36"/>
        </w:rPr>
        <w:t xml:space="preserve"> - CONTRACT AUDIT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2"/>
      <w:r>
        <w:rPr>
          <w:rFonts w:ascii="Times New Roman" w:hAnsi="Times New Roman"/>
          <w:color w:val="000000"/>
          <w:sz w:val="31"/>
        </w:rPr>
        <w:t>5242.191</w:t>
      </w:r>
      <w:r>
        <w:rPr>
          <w:rFonts w:ascii="Times New Roman" w:hAnsi="Times New Roman"/>
          <w:color w:val="000000"/>
          <w:sz w:val="31"/>
        </w:rPr>
        <w:t xml:space="preserve"> Audit resolution and disposition.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52e6e7b58e694257">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3"/>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
      <w:r>
        <w:rPr>
          <w:rFonts w:ascii="Times New Roman" w:hAnsi="Times New Roman"/>
          <w:color w:val="000000"/>
          <w:sz w:val="31"/>
        </w:rPr>
        <w:t>5242.602</w:t>
      </w:r>
      <w:r>
        <w:rPr>
          <w:rFonts w:ascii="Times New Roman" w:hAnsi="Times New Roman"/>
          <w:color w:val="000000"/>
          <w:sz w:val="31"/>
        </w:rPr>
        <w:t xml:space="preserve"> Assignment and location.</w:t>
      </w:r>
      <w:bookmarkEnd w:id="4"/>
    </w:p>
    <w:p>
      <w:pPr>
        <w:pStyle w:val="Normal"/>
        <w:pBdr>
          <w:top w:space="5"/>
          <w:left w:space="5"/>
          <w:bottom w:space="5"/>
          <w:right w:space="5"/>
        </w:pBdr>
        <w:spacing w:after="0"/>
        <w:ind w:left="225"/>
        <w:jc w:val="left"/>
      </w:pPr>
      <w:r>
        <w:rPr>
          <w:rFonts w:ascii="Times New Roman" w:hAnsi="Times New Roman"/>
          <w:color w:val="000000"/>
        </w:rPr>
        <w:t xml:space="preserve">(a) Submit recommendations for assignment of a corporate administrative contracting officer (CACO) to DASN(P) by email at </w:t>
      </w:r>
      <w:hyperlink r:id="Reaeee0975f344910">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DFARS 242.602 - CACO Assignment Recommendation.”</w:t>
      </w:r>
    </w:p>
    <!-- Created by docx4j 6.1.2 (Apache licensed) using REFERENCE JAXB in Oracle Java 15 on Linux -->
    <w:p>
      <w:pPr>
        <w:pStyle w:val="Heading2"/>
        <w:spacing w:after="180"/>
        <w:ind w:left="120"/>
        <w:jc w:val="center"/>
      </w:pPr>
      <w:bookmarkStart w:name="NMCARS_SUBPART_5242.11" w:id="5"/>
      <w:r>
        <w:rPr>
          <w:rFonts w:ascii="Times New Roman" w:hAnsi="Times New Roman"/>
          <w:color w:val="000000"/>
          <w:sz w:val="36"/>
        </w:rPr>
        <w:t>Subpart 5242.11</w:t>
      </w:r>
      <w:r>
        <w:rPr>
          <w:rFonts w:ascii="Times New Roman" w:hAnsi="Times New Roman"/>
          <w:color w:val="000000"/>
          <w:sz w:val="36"/>
        </w:rPr>
        <w:t xml:space="preserve"> - PRODUCTION SURVEILLANCE AND REPORTING</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105" w:id="6"/>
      <w:r>
        <w:rPr>
          <w:rFonts w:ascii="Times New Roman" w:hAnsi="Times New Roman"/>
          <w:color w:val="000000"/>
          <w:sz w:val="31"/>
        </w:rPr>
        <w:t>5242.1105</w:t>
      </w:r>
      <w:r>
        <w:rPr>
          <w:rFonts w:ascii="Times New Roman" w:hAnsi="Times New Roman"/>
          <w:color w:val="000000"/>
          <w:sz w:val="31"/>
        </w:rPr>
        <w:t xml:space="preserve"> Assignment of criticality designator.</w:t>
      </w:r>
      <w:bookmarkEnd w:id="6"/>
    </w:p>
    <w:p>
      <w:pPr>
        <w:pStyle w:val="Normal"/>
        <w:pBdr>
          <w:top w:space="5"/>
          <w:left w:space="5"/>
          <w:bottom w:space="5"/>
          <w:right w:space="5"/>
        </w:pBdr>
        <w:spacing w:after="0"/>
        <w:ind w:left="225"/>
        <w:jc w:val="left"/>
      </w:pPr>
      <w:r>
        <w:rPr>
          <w:rFonts w:ascii="Times New Roman" w:hAnsi="Times New Roman"/>
          <w:color w:val="000000"/>
        </w:rPr>
        <w:t>(1) The contracting officer shall determine the appropriate criticality designator in conjunction with the program office or requiring activity, for each contract.</w:t>
      </w:r>
    </w:p>
    <w:sectPr>
      <w:pgSz w:w="12240" w:h="15840" w:code="1"/>
      <w:pgMar w:top="1440" w:right="1440" w:bottom="1440" w:left="1440"/>
      <w:pgNumType w:start="1"/>
      <w:footerReference w:type="default" r:id="Rf3abc363bb954d4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3abc363bb954d46" /><Relationship Type="http://schemas.openxmlformats.org/officeDocument/2006/relationships/hyperlink" Target="SUBPART_5242.1.dita#NMCARS_SUBPART_5242.1" TargetMode="External" Id="R284ca86cebbc44ed" /><Relationship Type="http://schemas.openxmlformats.org/officeDocument/2006/relationships/hyperlink" Target="5242.191.dita#NMCARS_5242.191" TargetMode="External" Id="R97e695d7a80b4ffc" /><Relationship Type="http://schemas.openxmlformats.org/officeDocument/2006/relationships/hyperlink" Target="SUBPART_5242.6.dita#NMCARS_SUBPART_5242.6" TargetMode="External" Id="R353c65282c814b67" /><Relationship Type="http://schemas.openxmlformats.org/officeDocument/2006/relationships/hyperlink" Target="5242.602.dita#NMCARS_5242.602" TargetMode="External" Id="R5cbb32a45f8b4c44" /><Relationship Type="http://schemas.openxmlformats.org/officeDocument/2006/relationships/hyperlink" Target="SUBPART_5242.11.dita#NMCARS_SUBPART_5242.11" TargetMode="External" Id="R627331c8216242ff" /><Relationship Type="http://schemas.openxmlformats.org/officeDocument/2006/relationships/hyperlink" Target="5242.1105.dita#NMCARS_5242.1105" TargetMode="External" Id="Rc65551d67f144a56" /><Relationship Type="http://schemas.openxmlformats.org/officeDocument/2006/relationships/hyperlink" Target="http://www.dcma.mil" TargetMode="External" Id="R52e6e7b58e694257" /><Relationship Type="http://schemas.openxmlformats.org/officeDocument/2006/relationships/hyperlink" Target="mailto:usn.pentagon.asstsecnavrdadc.mbx.pabt@us.navy.mil" TargetMode="External" Id="Reaeee0975f3449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