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52" w:id="0"/>
      <w:r>
        <w:rPr>
          <w:rFonts w:ascii="Times New Roman" w:hAnsi="Times New Roman"/>
          <w:color w:val="000000"/>
        </w:rPr>
        <w:t>Part 5252</w:t>
      </w:r>
      <w:r>
        <w:rPr>
          <w:rFonts w:ascii="Times New Roman" w:hAnsi="Times New Roman"/>
          <w:color w:val="000000"/>
        </w:rPr>
        <w:t xml:space="preserve"> - SOLICITATION PROVISIONS AND CONTRACT CLAUSES</w:t>
      </w:r>
      <w:bookmarkEnd w:id="0"/>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1"/>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2"/>
      <w:r>
        <w:rPr>
          <w:rFonts w:ascii="Times New Roman" w:hAnsi="Times New Roman"/>
          <w:color w:val="000000"/>
          <w:sz w:val="31"/>
        </w:rPr>
        <w:t>5252.200</w:t>
      </w:r>
      <w:r>
        <w:rPr>
          <w:rFonts w:ascii="Times New Roman" w:hAnsi="Times New Roman"/>
          <w:color w:val="000000"/>
          <w:sz w:val="31"/>
        </w:rPr>
        <w:t xml:space="preserve"> Scope of subpart.</w:t>
      </w:r>
      <w:bookmarkEnd w:id="2"/>
    </w:p>
    <w:p>
      <w:pPr>
        <w:pStyle w:val="Normal"/>
        <w:pBdr>
          <w:top w:space="5"/>
          <w:left w:space="5"/>
          <w:bottom w:space="5"/>
          <w:right w:space="5"/>
        </w:pBdr>
        <w:spacing w:after="0"/>
        <w:ind w:left="225"/>
        <w:jc w:val="left"/>
      </w:pPr>
      <w:r>
        <w:rPr>
          <w:rFonts w:ascii="Times New Roman" w:hAnsi="Times New Roman"/>
          <w:color w:val="000000"/>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3"/>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3"/>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w:sectPr>
      <w:pgSz w:w="12240" w:h="15840" w:code="1"/>
      <w:pgMar w:top="1440" w:right="1440" w:bottom="1440" w:left="1440"/>
      <w:pgNumType w:start="1"/>
      <w:footerReference w:type="default" r:id="Rf77659269cb6461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77659269cb64610" /><Relationship Type="http://schemas.openxmlformats.org/officeDocument/2006/relationships/hyperlink" Target="SUBPART_5252.2.dita#NMCARS_SUBPART_5252.2" TargetMode="External" Id="Rd7d70b68ae914087" /><Relationship Type="http://schemas.openxmlformats.org/officeDocument/2006/relationships/hyperlink" Target="5252.200.dita#NMCARS_5252.200" TargetMode="External" Id="Re95e72d3ee7343b1" /><Relationship Type="http://schemas.openxmlformats.org/officeDocument/2006/relationships/hyperlink" Target="5252.2239000.dita#NMCARS_5252.2239000" TargetMode="External" Id="Ra70ae585e6c7484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