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**ID__SOFARS_5611.27490__ID**</w:t>
      </w:r>
    </w:p>
    <w:p>
      <w:pPr>
        <w:pStyle w:val="Heading4"/>
        <w:spacing w:after="269"/>
        <w:ind w:left="120"/>
        <w:jc w:val="left"/>
      </w:pPr>
      <w:r>
        <w:rPr>
          <w:rFonts w:ascii="Times New Roman" w:hAnsi="Times New Roman"/>
          <w:i w:val="false"/>
          <w:color w:val="000000"/>
          <w:sz w:val="24"/>
        </w:rPr>
        <w:t>5611.274-90</w:t>
      </w:r>
      <w:r>
        <w:rPr>
          <w:rFonts w:ascii="Times New Roman" w:hAnsi="Times New Roman"/>
          <w:i w:val="false"/>
          <w:color w:val="000000"/>
          <w:sz w:val="24"/>
        </w:rPr>
        <w:t xml:space="preserve"> Item Unique Item Identification (IUID)/Unique Item Identifier (UII) and Military Equipment Evaluation (MEV).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/>
          <w:color w:val="000000"/>
          <w:sz w:val="22"/>
        </w:rPr>
        <w:t>(Revised December 2015)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It is USSOCOM policy that IUIDs or DOD recognized UID equivalents, shall be incorporated in solicitations and contracts in accordance with </w:t>
      </w:r>
      <w:hyperlink r:id="rId4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. DFARS clause </w:t>
      </w:r>
      <w:hyperlink r:id="rId5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252.211-7003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shall be incorporated into any solicitation and contract for procurement of tangible assets as directed by the Program Manager in the procurement request package.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In accordance with </w:t>
      </w:r>
      <w:hyperlink r:id="rId6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211.274-3,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contractors shall be required to identify the Government’s unit acquisition cost for all items delivered, even if none of the criteria for placing a unique item identification mark applies. </w:t>
      </w:r>
      <w:hyperlink r:id="rId7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/>
        </w:r>
        <w:r>
          <w:rPr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DFARS 252.211-7003(a)</w:t>
        </w:r>
      </w:hyperlink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defines unit acquisition cost.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Follow procedures found in the DCG for IUID/UII and MEV.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    <Relationship TargetMode="External" Target="https://www.acquisition.gov/dfars/part-211-%E2%80%93-describing-agency-needs" Type="http://schemas.openxmlformats.org/officeDocument/2006/relationships/hyperlink" Id="rId4"/>
    <Relationship TargetMode="External" Target="https://www.acquisition.gov/dfars/part-252-%E2%80%93-clauses" Type="http://schemas.openxmlformats.org/officeDocument/2006/relationships/hyperlink" Id="rId5"/>
    <Relationship TargetMode="External" Target="https://www.acquisition.gov/dfars/part-211-%E2%80%93-describing-agency-needs" Type="http://schemas.openxmlformats.org/officeDocument/2006/relationships/hyperlink" Id="rId6"/>
    <Relationship TargetMode="External" Target="https://www.acquisition.gov/dfars/part-252-%E2%80%93-clauses" Type="http://schemas.openxmlformats.org/officeDocument/2006/relationships/hyperlink" Id="rId7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