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**ID__SOFARS_5613.201__ID**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5613.201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offices shall delegate the authority for all micro-purchase requirements to the requiring activities. Micro-purchase requirements shall be purchased using the government-wide Commercial purchase card or by ordering officials appointed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5601.602-2-90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exceptions to the use of the government-wide commercial purchase card,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213.270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The Director of Procurement, USSOCOM, as the head of agency, delegates the authority to determine applicability of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13.201(g)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the Contracting Officer. The rationale for the determination must be documented in the contract file. For exceptions to the use of the government-wide commercial purchase card,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213.270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</w:t>
      </w:r>
      <w:r>
        <w:rPr>
          <w:rFonts w:ascii="Times New Roman" w:hAnsi="Times New Roman"/>
          <w:b/>
          <w:i w:val="false"/>
          <w:color w:val="000000"/>
          <w:sz w:val="22"/>
        </w:rPr>
        <w:t>DCG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01.docx" Type="http://schemas.openxmlformats.org/officeDocument/2006/relationships/hyperlink" Id="rId4"/>
    <Relationship TargetMode="External" Target="https://www.acquisition.gov/dfars/part-213-%E2%80%93-simplified-acquisition-procedures" Type="http://schemas.openxmlformats.org/officeDocument/2006/relationships/hyperlink" Id="rId5"/>
    <Relationship TargetMode="External" Target="https://www.acquisition.gov/content/part-13-simplified-acquisition-procedures" Type="http://schemas.openxmlformats.org/officeDocument/2006/relationships/hyperlink" Id="rId6"/>
    <Relationship TargetMode="External" Target="https://www.acquisition.gov/dfars/part-213-%E2%80%93-simplified-acquisition-procedures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