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**ID__SOFARS_5615.001__ID**</w:t>
      </w:r>
    </w:p>
    <w:p>
      <w:pPr>
        <w:pStyle w:val="Heading2"/>
        <w:spacing w:after="180"/>
        <w:ind w:left="120"/>
        <w:jc w:val="left"/>
      </w:pPr>
      <w:r>
        <w:rPr>
          <w:rFonts w:ascii="Times New Roman" w:hAnsi="Times New Roman"/>
          <w:color w:val="000000"/>
          <w:sz w:val="36"/>
        </w:rPr>
        <w:t>5615.001</w:t>
      </w:r>
      <w:r>
        <w:rPr>
          <w:rFonts w:ascii="Times New Roman" w:hAnsi="Times New Roman"/>
          <w:color w:val="000000"/>
          <w:sz w:val="36"/>
        </w:rPr>
        <w:t xml:space="preserve"> Definitions.</w:t>
      </w:r>
    </w:p>
    <w:p>
      <w:pPr>
        <w:pBdr>
          <w:top w:space="5"/>
          <w:left w:space="5"/>
          <w:bottom w:space="5"/>
          <w:right w:space="5"/>
        </w:pBdr>
        <w:spacing w:after="0"/>
        <w:ind w:left="225"/>
        <w:jc w:val="left"/>
      </w:pPr>
      <w:r>
        <w:rPr>
          <w:rFonts w:ascii="Times New Roman" w:hAnsi="Times New Roman"/>
          <w:b w:val="false"/>
          <w:i/>
          <w:color w:val="000000"/>
          <w:sz w:val="22"/>
        </w:rPr>
        <w:t>(Revised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Business Clearance</w:t>
      </w:r>
      <w:r>
        <w:rPr>
          <w:rFonts w:ascii="Times New Roman" w:hAnsi="Times New Roman"/>
          <w:b w:val="false"/>
          <w:i w:val="false"/>
          <w:color w:val="000000"/>
          <w:sz w:val="22"/>
        </w:rPr>
        <w:t xml:space="preserve"> (BC):</w:t>
      </w:r>
    </w:p>
    <w:p>
      <w:pPr>
        <w:pBdr>
          <w:top w:space="5"/>
          <w:left w:space="5"/>
          <w:bottom w:space="5"/>
          <w:right w:space="5"/>
        </w:pBdr>
        <w:spacing w:after="0"/>
        <w:ind w:left="585"/>
        <w:jc w:val="left"/>
      </w:pPr>
      <w:r>
        <w:rPr>
          <w:rFonts w:ascii="Times New Roman" w:hAnsi="Times New Roman"/>
          <w:b w:val="false"/>
          <w:i w:val="false"/>
          <w:color w:val="000000"/>
          <w:sz w:val="22"/>
        </w:rPr>
        <w:t>(1)The purpose of the BC for competitive acquisitions is to obtain approval from the appropriate approval authority to award without discussion or begin discussions.</w:t>
      </w:r>
    </w:p>
    <w:p>
      <w:pPr>
        <w:pBdr>
          <w:top w:space="5"/>
          <w:left w:space="5"/>
          <w:bottom w:space="5"/>
          <w:right w:space="5"/>
        </w:pBdr>
        <w:spacing w:after="0"/>
        <w:ind w:left="585"/>
        <w:jc w:val="left"/>
      </w:pPr>
      <w:r>
        <w:rPr>
          <w:rFonts w:ascii="Times New Roman" w:hAnsi="Times New Roman"/>
          <w:b w:val="false"/>
          <w:i w:val="false"/>
          <w:color w:val="000000"/>
          <w:sz w:val="22"/>
        </w:rPr>
        <w:t>(2)The purpose of the BC for non-competitive acquisitions, negotiated modifications, and delivery or task orders is to obtain the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Contract Clearance</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w:pPr>
        <w:pBdr>
          <w:top w:space="5"/>
          <w:left w:space="5"/>
          <w:bottom w:space="5"/>
          <w:right w:space="5"/>
        </w:pBdr>
        <w:spacing w:after="0"/>
        <w:ind w:left="585"/>
        <w:jc w:val="left"/>
      </w:pPr>
      <w:r>
        <w:rPr>
          <w:rFonts w:ascii="Times New Roman" w:hAnsi="Times New Roman"/>
          <w:b w:val="false"/>
          <w:i w:val="false"/>
          <w:color w:val="000000"/>
          <w:sz w:val="22"/>
        </w:rPr>
        <w:t>(2) The requirement to obtain Contract Clearance may be waived if requested at the time the Pre-Negotiation portion of the BCM is submitted for review and no substantial changes are made to the original negotiation objective.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