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**ID__SOFARS_5601.601__ID**</w:t>
      </w:r>
    </w:p>
    <w:p>
      <w:pPr>
        <w:pStyle w:val="Heading3"/>
        <w:spacing w:after="199"/>
        <w:ind w:left="120"/>
        <w:jc w:val="left"/>
      </w:pPr>
      <w:r>
        <w:rPr>
          <w:rFonts w:ascii="Times New Roman" w:hAnsi="Times New Roman"/>
          <w:color w:val="000000"/>
          <w:sz w:val="31"/>
        </w:rPr>
        <w:t>5601.601</w:t>
      </w:r>
      <w:r>
        <w:rPr>
          <w:rFonts w:ascii="Times New Roman" w:hAnsi="Times New Roman"/>
          <w:color w:val="000000"/>
          <w:sz w:val="31"/>
        </w:rPr>
        <w:t xml:space="preserve"> General.</w:t>
      </w:r>
    </w:p>
    <w:p>
      <w:pPr>
        <w:pBdr>
          <w:top w:space="5"/>
          <w:left w:space="5"/>
          <w:bottom w:space="5"/>
          <w:right w:space="5"/>
        </w:pBdr>
        <w:spacing w:after="0"/>
        <w:ind w:left="585"/>
        <w:jc w:val="left"/>
      </w:pPr>
      <w:r>
        <w:rPr>
          <w:rFonts w:ascii="Times New Roman" w:hAnsi="Times New Roman"/>
          <w:b w:val="false"/>
          <w:i w:val="false"/>
          <w:color w:val="000000"/>
          <w:sz w:val="22"/>
        </w:rPr>
        <w:t>(1) Title 10, United States Code (U.S.C.), section 167(e)(4)(B), provides that the Commander, United States Special Operations Command, has the authority to exercise the functions of the Head Of Agency under Chapter 137 of Title 10, U.S.C., subject to the authority, direction and control of the Secretary of Defense. In addition, the Director of Defense Procurement has delegated to the Commander, USSOCOM, the authority to act as:</w:t>
      </w:r>
    </w:p>
    <w:p>
      <w:pPr>
        <w:pBdr>
          <w:top w:space="5"/>
          <w:left w:space="5"/>
          <w:bottom w:space="5"/>
          <w:right w:space="5"/>
        </w:pBdr>
        <w:spacing w:after="0"/>
        <w:ind w:left="945"/>
        <w:jc w:val="left"/>
      </w:pPr>
      <w:r>
        <w:rPr>
          <w:rFonts w:ascii="Times New Roman" w:hAnsi="Times New Roman"/>
          <w:b w:val="false"/>
          <w:i w:val="false"/>
          <w:color w:val="000000"/>
          <w:sz w:val="22"/>
        </w:rPr>
        <w:t>(i) Senior Procurement Executive (SPE) for USSOCOM, except for such actions that by terms of statute or any other delegation must be exercised by the Under Secretary of Defense (Acquisition and Technology); and,</w:t>
      </w:r>
    </w:p>
    <w:p>
      <w:pPr>
        <w:pBdr>
          <w:top w:space="5"/>
          <w:left w:space="5"/>
          <w:bottom w:space="5"/>
          <w:right w:space="5"/>
        </w:pBdr>
        <w:spacing w:after="0"/>
        <w:ind w:left="945"/>
        <w:jc w:val="left"/>
      </w:pPr>
      <w:r>
        <w:rPr>
          <w:rFonts w:ascii="Times New Roman" w:hAnsi="Times New Roman"/>
          <w:b w:val="false"/>
          <w:i w:val="false"/>
          <w:color w:val="000000"/>
          <w:sz w:val="22"/>
        </w:rPr>
        <w:t>(ii) Head Of Agency (HOA) for those functions prescribed by FAR and DFARS that are in addition to those exercised under Chapter 137 of Title 10, U.S.C., pursuant to 10 U.S.C., Section 167(e)(4)(B).</w:t>
      </w:r>
    </w:p>
    <w:p>
      <w:pPr>
        <w:pBdr>
          <w:top w:space="5"/>
          <w:left w:space="5"/>
          <w:bottom w:space="5"/>
          <w:right w:space="5"/>
        </w:pBdr>
        <w:spacing w:after="0"/>
        <w:ind w:left="585"/>
        <w:jc w:val="left"/>
      </w:pPr>
      <w:r>
        <w:rPr>
          <w:rFonts w:ascii="Times New Roman" w:hAnsi="Times New Roman"/>
          <w:b w:val="false"/>
          <w:i w:val="false"/>
          <w:color w:val="000000"/>
          <w:sz w:val="22"/>
        </w:rPr>
        <w:t>(2) The Commander, USSOCOM, has delegated all delegable HOA and SPE authority to the Director, Special Operations Forces Acquisition, Technology, and Logistics Acquisition Executive (SOAE). The SOAE establishes policies, directs, and supervises USSOCOM activities with respect to contracting, acquisition, and related matters. The USSOCOM Staff Judge Advocate is the legal advisor to the Commander, USSOCOM, and SOAE.</w:t>
      </w:r>
    </w:p>
    <w:p>
      <w:pPr>
        <w:pBdr>
          <w:top w:space="5"/>
          <w:left w:space="5"/>
          <w:bottom w:space="5"/>
          <w:right w:space="5"/>
        </w:pBdr>
        <w:spacing w:after="0"/>
        <w:ind w:left="945"/>
        <w:jc w:val="left"/>
      </w:pPr>
      <w:r>
        <w:rPr>
          <w:rFonts w:ascii="Times New Roman" w:hAnsi="Times New Roman"/>
          <w:b w:val="false"/>
          <w:i w:val="false"/>
          <w:color w:val="000000"/>
          <w:sz w:val="22"/>
        </w:rPr>
        <w:t>(i) The SOAE has further delegated the authority to exercise certain HOA functions to the DoP with the power of redelegation. Exceptions to this delegation include those actions reserved by FAR and DFARS for Senior Executive Service (SES) members, Flag Officers, General Officers, or the authority for the actions required by the agency head in the following:</w:t>
      </w:r>
    </w:p>
    <w:p>
      <w:pPr>
        <w:pBdr>
          <w:top w:space="5"/>
          <w:left w:space="5"/>
          <w:bottom w:space="5"/>
          <w:right w:space="5"/>
        </w:pBdr>
        <w:spacing w:after="0"/>
        <w:ind w:left="945"/>
        <w:jc w:val="left"/>
      </w:pP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1.404</w:t>
        </w:r>
      </w:hyperlink>
    </w:p>
    <w:p>
      <w:pPr>
        <w:pBdr>
          <w:top w:space="5"/>
          <w:left w:space="5"/>
          <w:bottom w:space="5"/>
          <w:right w:space="5"/>
        </w:pBdr>
        <w:spacing w:after="0"/>
        <w:ind w:left="945"/>
        <w:jc w:val="left"/>
      </w:pP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6.501</w:t>
        </w:r>
      </w:hyperlink>
    </w:p>
    <w:p>
      <w:pPr>
        <w:pBdr>
          <w:top w:space="5"/>
          <w:left w:space="5"/>
          <w:bottom w:space="5"/>
          <w:right w:space="5"/>
        </w:pBdr>
        <w:spacing w:after="0"/>
        <w:ind w:left="945"/>
        <w:jc w:val="left"/>
      </w:pP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19.201</w:t>
        </w:r>
      </w:hyperlink>
    </w:p>
    <w:p>
      <w:pPr>
        <w:pBdr>
          <w:top w:space="5"/>
          <w:left w:space="5"/>
          <w:bottom w:space="5"/>
          <w:right w:space="5"/>
        </w:pBdr>
        <w:spacing w:after="0"/>
        <w:ind w:left="945"/>
        <w:jc w:val="left"/>
      </w:pP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19.505</w:t>
        </w:r>
      </w:hyperlink>
    </w:p>
    <w:p>
      <w:pPr>
        <w:pBdr>
          <w:top w:space="5"/>
          <w:left w:space="5"/>
          <w:bottom w:space="5"/>
          <w:right w:space="5"/>
        </w:pBdr>
        <w:spacing w:after="0"/>
        <w:ind w:left="945"/>
        <w:jc w:val="left"/>
      </w:pP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19.812</w:t>
        </w:r>
      </w:hyperlink>
    </w:p>
    <w:p>
      <w:pPr>
        <w:pBdr>
          <w:top w:space="5"/>
          <w:left w:space="5"/>
          <w:bottom w:space="5"/>
          <w:right w:space="5"/>
        </w:pBdr>
        <w:spacing w:after="0"/>
        <w:ind w:left="945"/>
        <w:jc w:val="left"/>
      </w:pP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27.303</w:t>
        </w:r>
      </w:hyperlink>
    </w:p>
    <w:p>
      <w:pPr>
        <w:pBdr>
          <w:top w:space="5"/>
          <w:left w:space="5"/>
          <w:bottom w:space="5"/>
          <w:right w:space="5"/>
        </w:pBdr>
        <w:spacing w:after="0"/>
        <w:ind w:left="945"/>
        <w:jc w:val="left"/>
      </w:pP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34.003</w:t>
        </w:r>
      </w:hyperlink>
    </w:p>
    <w:p>
      <w:pPr>
        <w:pBdr>
          <w:top w:space="5"/>
          <w:left w:space="5"/>
          <w:bottom w:space="5"/>
          <w:right w:space="5"/>
        </w:pBdr>
        <w:spacing w:after="0"/>
        <w:ind w:left="945"/>
        <w:jc w:val="left"/>
      </w:pP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34.005-6</w:t>
        </w:r>
      </w:hyperlink>
    </w:p>
    <w:p>
      <w:pPr>
        <w:pBdr>
          <w:top w:space="5"/>
          <w:left w:space="5"/>
          <w:bottom w:space="5"/>
          <w:right w:space="5"/>
        </w:pBdr>
        <w:spacing w:after="0"/>
        <w:ind w:left="945"/>
        <w:jc w:val="left"/>
      </w:pP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35.014(b)</w:t>
        </w:r>
      </w:hyperlink>
    </w:p>
    <w:p>
      <w:pPr>
        <w:pBdr>
          <w:top w:space="5"/>
          <w:left w:space="5"/>
          <w:bottom w:space="5"/>
          <w:right w:space="5"/>
        </w:pBdr>
        <w:spacing w:after="0"/>
        <w:ind w:left="945"/>
        <w:jc w:val="left"/>
      </w:pP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35.017-7</w:t>
        </w:r>
      </w:hyperlink>
    </w:p>
    <w:p>
      <w:pPr>
        <w:pBdr>
          <w:top w:space="5"/>
          <w:left w:space="5"/>
          <w:bottom w:space="5"/>
          <w:right w:space="5"/>
        </w:pBdr>
        <w:spacing w:after="0"/>
        <w:ind w:left="945"/>
        <w:jc w:val="left"/>
      </w:pP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201.404</w:t>
        </w:r>
      </w:hyperlink>
    </w:p>
    <w:p>
      <w:pPr>
        <w:pBdr>
          <w:top w:space="5"/>
          <w:left w:space="5"/>
          <w:bottom w:space="5"/>
          <w:right w:space="5"/>
        </w:pBdr>
        <w:spacing w:after="0"/>
        <w:ind w:left="945"/>
        <w:jc w:val="left"/>
      </w:pPr>
      <w:hyperlink r:id="rId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203.570-3</w:t>
        </w:r>
      </w:hyperlink>
    </w:p>
    <w:p>
      <w:pPr>
        <w:pBdr>
          <w:top w:space="5"/>
          <w:left w:space="5"/>
          <w:bottom w:space="5"/>
          <w:right w:space="5"/>
        </w:pBdr>
        <w:spacing w:after="0"/>
        <w:ind w:left="945"/>
        <w:jc w:val="left"/>
      </w:pPr>
      <w:r>
        <w:rPr>
          <w:rFonts w:ascii="Times New Roman" w:hAnsi="Times New Roman"/>
          <w:b w:val="false"/>
          <w:i w:val="false"/>
          <w:color w:val="000000"/>
          <w:sz w:val="22"/>
        </w:rPr>
        <w:t>(ii) The following function cannot be delegated below the SES, Level IV (for USSOCOM the SPE):</w:t>
      </w:r>
    </w:p>
    <w:p>
      <w:pPr>
        <w:pBdr>
          <w:top w:space="5"/>
          <w:left w:space="5"/>
          <w:bottom w:space="5"/>
          <w:right w:space="5"/>
        </w:pBdr>
        <w:spacing w:after="0"/>
        <w:ind w:left="945"/>
        <w:jc w:val="left"/>
      </w:pPr>
      <w:hyperlink r:id="rId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32.006</w:t>
        </w:r>
      </w:hyperlink>
    </w:p>
    <w:p>
      <w:pPr>
        <w:pBdr>
          <w:top w:space="5"/>
          <w:left w:space="5"/>
          <w:bottom w:space="5"/>
          <w:right w:space="5"/>
        </w:pBdr>
        <w:spacing w:after="0"/>
        <w:ind w:left="945"/>
        <w:jc w:val="left"/>
      </w:pPr>
      <w:r>
        <w:rPr>
          <w:rFonts w:ascii="Times New Roman" w:hAnsi="Times New Roman"/>
          <w:b w:val="false"/>
          <w:i w:val="false"/>
          <w:color w:val="000000"/>
          <w:sz w:val="22"/>
        </w:rPr>
        <w:t>(iii) In accordance with the FAR, the following functions are not delegable below the HOA:</w:t>
      </w:r>
    </w:p>
    <w:p>
      <w:pPr>
        <w:pBdr>
          <w:top w:space="5"/>
          <w:left w:space="5"/>
          <w:bottom w:space="5"/>
          <w:right w:space="5"/>
        </w:pBdr>
        <w:spacing w:after="0"/>
        <w:ind w:left="945"/>
        <w:jc w:val="left"/>
      </w:pPr>
      <w:hyperlink r:id="rId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23.506</w:t>
        </w:r>
      </w:hyperlink>
    </w:p>
    <w:p>
      <w:pPr>
        <w:pBdr>
          <w:top w:space="5"/>
          <w:left w:space="5"/>
          <w:bottom w:space="5"/>
          <w:right w:space="5"/>
        </w:pBdr>
        <w:spacing w:after="0"/>
        <w:ind w:left="945"/>
        <w:jc w:val="left"/>
      </w:pPr>
      <w:hyperlink r:id="rId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27.306</w:t>
        </w:r>
      </w:hyperlink>
    </w:p>
    <w:p>
      <w:pPr>
        <w:pBdr>
          <w:top w:space="5"/>
          <w:left w:space="5"/>
          <w:bottom w:space="5"/>
          <w:right w:space="5"/>
        </w:pBdr>
        <w:spacing w:after="0"/>
        <w:ind w:left="945"/>
        <w:jc w:val="left"/>
      </w:pPr>
      <w:r>
        <w:rPr>
          <w:rFonts w:ascii="Times New Roman" w:hAnsi="Times New Roman"/>
          <w:b w:val="false"/>
          <w:i w:val="false"/>
          <w:color w:val="000000"/>
          <w:sz w:val="22"/>
        </w:rPr>
        <w:t>(iv) The following function cannot be delegated below the Secretary of Defense:</w:t>
      </w:r>
    </w:p>
    <w:p>
      <w:pPr>
        <w:pBdr>
          <w:top w:space="5"/>
          <w:left w:space="5"/>
          <w:bottom w:space="5"/>
          <w:right w:space="5"/>
        </w:pBdr>
        <w:spacing w:after="0"/>
        <w:ind w:left="945"/>
        <w:jc w:val="left"/>
      </w:pPr>
      <w:hyperlink r:id="rId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206.302-7</w:t>
        </w:r>
      </w:hyperlink>
    </w:p>
    <w:p>
      <w:pPr>
        <w:pBdr>
          <w:top w:space="5"/>
          <w:left w:space="5"/>
          <w:bottom w:space="5"/>
          <w:right w:space="5"/>
        </w:pBdr>
        <w:spacing w:after="0"/>
        <w:ind w:left="945"/>
        <w:jc w:val="left"/>
      </w:pPr>
      <w:r>
        <w:rPr>
          <w:rFonts w:ascii="Times New Roman" w:hAnsi="Times New Roman"/>
          <w:b w:val="false"/>
          <w:i w:val="false"/>
          <w:color w:val="000000"/>
          <w:sz w:val="22"/>
        </w:rPr>
        <w:t>(v) The DoP shall maintain Head of Contracting Activity (HCA) authority as designated throughout the FAR and DFARS. This authority is delegable in the absence of the DOP as permitted by the FAR and DFARS.</w:t>
      </w:r>
    </w:p>
    <w:p>
      <w:pPr>
        <w:pBdr>
          <w:top w:space="5"/>
          <w:left w:space="5"/>
          <w:bottom w:space="5"/>
          <w:right w:space="5"/>
        </w:pBdr>
        <w:spacing w:after="0"/>
        <w:ind w:left="945"/>
        <w:jc w:val="left"/>
      </w:pPr>
      <w:r>
        <w:rPr>
          <w:rFonts w:ascii="Times New Roman" w:hAnsi="Times New Roman"/>
          <w:b w:val="false"/>
          <w:i w:val="false"/>
          <w:color w:val="000000"/>
          <w:sz w:val="22"/>
        </w:rPr>
        <w:t>(vi) The DOP or DDOP is responsible for the first-level performance appraisal of all military and civilian headquarters contracting division or field contracting office chiefs.</w:t>
      </w:r>
    </w:p>
    <w:p>
      <w:pPr>
        <w:pBdr>
          <w:top w:space="5"/>
          <w:left w:space="5"/>
          <w:bottom w:space="5"/>
          <w:right w:space="5"/>
        </w:pBdr>
        <w:spacing w:after="0"/>
        <w:ind w:left="585"/>
        <w:jc w:val="left"/>
      </w:pPr>
      <w:r>
        <w:rPr>
          <w:rFonts w:ascii="Times New Roman" w:hAnsi="Times New Roman"/>
          <w:b w:val="false"/>
          <w:i w:val="false"/>
          <w:color w:val="000000"/>
          <w:sz w:val="22"/>
        </w:rPr>
        <w:t>(3) Unless otherwise specified in SOFARS, the approval level for contracting actions shall be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(4) The HOA authority to determine when acquisitions support contingency operations, humanitarian or peacekeeping operations, facilitate the provision of international disaster assistance, support response to emergency or major disasters, or facilitate defense against or recovery from cyber, nuclear, biological, chemical, or radiological attack, is delegated to USSOCOM headquarters contracting divisions and field contracting office chiefs.</w:t>
      </w:r>
    </w:p>
    <w:p>
      <w:pPr>
        <w:pBdr>
          <w:top w:space="5"/>
          <w:left w:space="5"/>
          <w:bottom w:space="5"/>
          <w:right w:space="5"/>
        </w:pBdr>
        <w:spacing w:after="0"/>
        <w:ind w:left="945"/>
        <w:jc w:val="left"/>
      </w:pPr>
      <w:r>
        <w:rPr>
          <w:rFonts w:ascii="Times New Roman" w:hAnsi="Times New Roman"/>
          <w:b w:val="false"/>
          <w:i w:val="false"/>
          <w:color w:val="000000"/>
          <w:sz w:val="22"/>
        </w:rPr>
        <w:t>(i) Once the determinations have been made in writing and included in each file, the following authorities may be utilized:</w:t>
      </w:r>
    </w:p>
    <w:p>
      <w:pPr>
        <w:pBdr>
          <w:top w:space="5"/>
          <w:left w:space="5"/>
          <w:bottom w:space="5"/>
          <w:right w:space="5"/>
        </w:pBdr>
        <w:spacing w:after="0"/>
        <w:ind w:left="945"/>
        <w:jc w:val="left"/>
      </w:pPr>
      <w:hyperlink r:id="rId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13.000</w:t>
        </w:r>
      </w:hyperlink>
    </w:p>
    <w:p>
      <w:pPr>
        <w:pBdr>
          <w:top w:space="5"/>
          <w:left w:space="5"/>
          <w:bottom w:space="5"/>
          <w:right w:space="5"/>
        </w:pBdr>
        <w:spacing w:after="0"/>
        <w:ind w:left="945"/>
        <w:jc w:val="left"/>
      </w:pPr>
      <w:hyperlink r:id="rId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13.201(g)</w:t>
        </w:r>
      </w:hyperlink>
    </w:p>
    <w:p>
      <w:pPr>
        <w:pBdr>
          <w:top w:space="5"/>
          <w:left w:space="5"/>
          <w:bottom w:space="5"/>
          <w:right w:space="5"/>
        </w:pBdr>
        <w:spacing w:after="0"/>
        <w:ind w:left="945"/>
        <w:jc w:val="left"/>
      </w:pPr>
      <w:hyperlink r:id="rId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13.500(c)</w:t>
        </w:r>
      </w:hyperlink>
    </w:p>
    <w:p>
      <w:pPr>
        <w:pBdr>
          <w:top w:space="5"/>
          <w:left w:space="5"/>
          <w:bottom w:space="5"/>
          <w:right w:space="5"/>
        </w:pBdr>
        <w:spacing w:after="0"/>
        <w:ind w:left="945"/>
        <w:jc w:val="left"/>
      </w:pPr>
      <w:hyperlink r:id="rId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18.2</w:t>
        </w:r>
      </w:hyperlink>
    </w:p>
    <w:p>
      <w:pPr>
        <w:pBdr>
          <w:top w:space="5"/>
          <w:left w:space="5"/>
          <w:bottom w:space="5"/>
          <w:right w:space="5"/>
        </w:pBdr>
        <w:spacing w:after="0"/>
        <w:ind w:left="945"/>
        <w:jc w:val="left"/>
      </w:pPr>
      <w:hyperlink r:id="rId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211.274-2(b)(1)</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(Removed June 2018)</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content/part-1-federal-acquisition-regulations-system" Type="http://schemas.openxmlformats.org/officeDocument/2006/relationships/hyperlink" Id="rId4"/>
    <Relationship TargetMode="External" Target="https://www.acquisition.gov/content/part-6-competition-requirements" Type="http://schemas.openxmlformats.org/officeDocument/2006/relationships/hyperlink" Id="rId5"/>
    <Relationship TargetMode="External" Target="https://www.acquisition.gov/content/part-19-small-business-programs" Type="http://schemas.openxmlformats.org/officeDocument/2006/relationships/hyperlink" Id="rId6"/>
    <Relationship TargetMode="External" Target="https://www.acquisition.gov/content/part-19-small-business-programs" Type="http://schemas.openxmlformats.org/officeDocument/2006/relationships/hyperlink" Id="rId7"/>
    <Relationship TargetMode="External" Target="https://www.acquisition.gov/content/part-19-small-business-programs" Type="http://schemas.openxmlformats.org/officeDocument/2006/relationships/hyperlink" Id="rId8"/>
    <Relationship TargetMode="External" Target="https://www.acquisition.gov/content/part-27-patents-data-and-copyrights" Type="http://schemas.openxmlformats.org/officeDocument/2006/relationships/hyperlink" Id="rId9"/>
    <Relationship TargetMode="External" Target="https://www.acquisition.gov/content/part-34-major-system-acquisition" Type="http://schemas.openxmlformats.org/officeDocument/2006/relationships/hyperlink" Id="rId10"/>
    <Relationship TargetMode="External" Target="https://www.acquisition.gov/content/part-34-major-system-acquisition" Type="http://schemas.openxmlformats.org/officeDocument/2006/relationships/hyperlink" Id="rId11"/>
    <Relationship TargetMode="External" Target="https://www.acquisition.gov/content/part-35-research-and-development-contracting" Type="http://schemas.openxmlformats.org/officeDocument/2006/relationships/hyperlink" Id="rId12"/>
    <Relationship TargetMode="External" Target="https://www.acquisition.gov/content/part-35-research-and-development-contracting" Type="http://schemas.openxmlformats.org/officeDocument/2006/relationships/hyperlink" Id="rId13"/>
    <Relationship TargetMode="External" Target="https://www.acquisition.gov/dfars/part-201-federal-acquisition-regulations-system" Type="http://schemas.openxmlformats.org/officeDocument/2006/relationships/hyperlink" Id="rId14"/>
    <Relationship TargetMode="External" Target="https://www.acquisition.gov/dfars/part-203-improper-business-practices-and-personal-conflicts-interest" Type="http://schemas.openxmlformats.org/officeDocument/2006/relationships/hyperlink" Id="rId15"/>
    <Relationship TargetMode="External" Target="https://www.acquisition.gov/content/part-32-contract-financing" Type="http://schemas.openxmlformats.org/officeDocument/2006/relationships/hyperlink" Id="rId16"/>
    <Relationship TargetMode="External" Target="https://www.acquisition.gov/content/part-23-environment-energy-and-water-efficiency-renewable-energy-technologies-occupational-safety-and-drug-free-workplace" Type="http://schemas.openxmlformats.org/officeDocument/2006/relationships/hyperlink" Id="rId17"/>
    <Relationship TargetMode="External" Target="https://www.acquisition.gov/content/part-27-patents-data-and-copyrights" Type="http://schemas.openxmlformats.org/officeDocument/2006/relationships/hyperlink" Id="rId18"/>
    <Relationship TargetMode="External" Target="https://www.acquisition.gov/dfars/part-206-competition-requirements" Type="http://schemas.openxmlformats.org/officeDocument/2006/relationships/hyperlink" Id="rId19"/>
    <Relationship TargetMode="External" Target="https://www.acquisition.gov/content/part-13-simplified-acquisition-procedures" Type="http://schemas.openxmlformats.org/officeDocument/2006/relationships/hyperlink" Id="rId20"/>
    <Relationship TargetMode="External" Target="https://www.acquisition.gov/content/part-13-simplified-acquisition-procedures" Type="http://schemas.openxmlformats.org/officeDocument/2006/relationships/hyperlink" Id="rId21"/>
    <Relationship TargetMode="External" Target="https://www.acquisition.gov/content/part-13-simplified-acquisition-procedures" Type="http://schemas.openxmlformats.org/officeDocument/2006/relationships/hyperlink" Id="rId22"/>
    <Relationship TargetMode="External" Target="https://www.acquisition.gov/content/part-18-emergency-acquisitions" Type="http://schemas.openxmlformats.org/officeDocument/2006/relationships/hyperlink" Id="rId23"/>
    <Relationship TargetMode="External" Target="https://www.acquisition.gov/dfars/part-211-describing-agency-needs" Type="http://schemas.openxmlformats.org/officeDocument/2006/relationships/hyperlink" Id="rId2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