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**ID__SOFARS_5615.305__ID**</w:t>
      </w:r>
    </w:p>
    <w:p>
      <w:pPr>
        <w:pStyle w:val="Heading3"/>
        <w:spacing w:after="199"/>
        <w:ind w:left="120"/>
        <w:jc w:val="left"/>
      </w:pPr>
      <w:r>
        <w:rPr>
          <w:rFonts w:ascii="Times New Roman" w:hAnsi="Times New Roman"/>
          <w:color w:val="000000"/>
          <w:sz w:val="31"/>
        </w:rPr>
        <w:t>5615.305</w:t>
      </w:r>
      <w:r>
        <w:rPr>
          <w:rFonts w:ascii="Times New Roman" w:hAnsi="Times New Roman"/>
          <w:color w:val="000000"/>
          <w:sz w:val="31"/>
        </w:rPr>
        <w:t xml:space="preserve"> Proposal Evaluation.</w:t>
      </w:r>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(a)(2)(iii)</w:t>
      </w:r>
    </w:p>
    <w:p>
      <w:pPr>
        <w:pBdr>
          <w:top w:space="5"/>
          <w:left w:space="5"/>
          <w:bottom w:space="5"/>
          <w:right w:space="5"/>
        </w:pBdr>
        <w:spacing w:after="0"/>
        <w:ind w:left="225"/>
        <w:jc w:val="left"/>
      </w:pPr>
      <w:r>
        <w:rPr>
          <w:rFonts w:ascii="Times New Roman" w:hAnsi="Times New Roman"/>
          <w:b w:val="false"/>
          <w:i w:val="false"/>
          <w:color w:val="000000"/>
          <w:sz w:val="22"/>
        </w:rPr>
        <w:t>Evaluations of past performance shall include reports obtained from the Past Performance Information Retrieval System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PPIRS</w:t>
        </w:r>
      </w:hyperlink>
      <w:r>
        <w:rPr>
          <w:rFonts w:ascii="Times New Roman" w:hAnsi="Times New Roman"/>
          <w:b w:val="false"/>
          <w:i w:val="false"/>
          <w:color w:val="000000"/>
          <w:sz w:val="22"/>
        </w:rPr>
        <w:t>), if available.</w:t>
      </w:r>
    </w:p>
    <w:p>
      <w:pPr>
        <w:pBdr>
          <w:top w:space="5"/>
          <w:left w:space="5"/>
          <w:bottom w:space="5"/>
          <w:right w:space="5"/>
        </w:pBdr>
        <w:spacing w:after="0"/>
        <w:ind w:left="585"/>
        <w:jc w:val="left"/>
      </w:pPr>
      <w:r>
        <w:rPr>
          <w:rFonts w:ascii="Times New Roman" w:hAnsi="Times New Roman"/>
          <w:b w:val="false"/>
          <w:i w:val="false"/>
          <w:color w:val="000000"/>
          <w:sz w:val="22"/>
        </w:rPr>
        <w:t>(4) The Source Selection Authority (SSA) may allow access to cost information to all source selection evaluation team members. If access to cost data is to be limited or denied to the technical team or others, describe the limitations and rationale for it in the SSP.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ppirs.gov/"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