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**ID__SOFARS_5615.306__ID**</w:t>
      </w:r>
    </w:p>
    <w:p>
      <w:pPr>
        <w:pStyle w:val="Heading3"/>
        <w:spacing w:after="199"/>
        <w:ind w:left="120"/>
        <w:jc w:val="left"/>
      </w:pPr>
      <w:r>
        <w:rPr>
          <w:rFonts w:ascii="Times New Roman" w:hAnsi="Times New Roman"/>
          <w:color w:val="000000"/>
          <w:sz w:val="31"/>
        </w:rPr>
        <w:t>5615.306</w:t>
      </w:r>
      <w:r>
        <w:rPr>
          <w:rFonts w:ascii="Times New Roman" w:hAnsi="Times New Roman"/>
          <w:color w:val="000000"/>
          <w:sz w:val="31"/>
        </w:rPr>
        <w:t xml:space="preserve"> Exchanges with Offerors After Receipt of Proposals.</w:t>
      </w:r>
    </w:p>
    <w:p>
      <w:pPr>
        <w:pBdr>
          <w:top w:space="5"/>
          <w:left w:space="5"/>
          <w:bottom w:space="5"/>
          <w:right w:space="5"/>
        </w:pBdr>
        <w:spacing w:after="0"/>
        <w:ind w:left="225"/>
        <w:jc w:val="left"/>
      </w:pPr>
      <w:r>
        <w:rPr>
          <w:rFonts w:ascii="Times New Roman" w:hAnsi="Times New Roman"/>
          <w:b w:val="false"/>
          <w:i/>
          <w:color w:val="000000"/>
          <w:sz w:val="22"/>
        </w:rPr>
        <w:t>(Revised January 2014)</w:t>
      </w:r>
    </w:p>
    <w:p>
      <w:pPr>
        <w:pBdr>
          <w:top w:space="5"/>
          <w:left w:space="5"/>
          <w:bottom w:space="5"/>
          <w:right w:space="5"/>
        </w:pBdr>
        <w:spacing w:after="0"/>
        <w:ind w:left="225"/>
        <w:jc w:val="left"/>
      </w:pPr>
      <w:r>
        <w:rPr>
          <w:rFonts w:ascii="Times New Roman" w:hAnsi="Times New Roman"/>
          <w:b w:val="false"/>
          <w:i w:val="false"/>
          <w:color w:val="000000"/>
          <w:sz w:val="22"/>
        </w:rPr>
        <w:t>(b) The rationale for the decision to communicate with offerors prior to establishment of the Competitive Range Determination (CRD) shall be documented. The CRD shall be included in the Business Clearance Memorandum (BCM) if not using formal source selection procedures.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