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**ID__SOFARS_5615.406390__ID**</w:t>
      </w:r>
    </w:p>
    <w:p>
      <w:pPr>
        <w:pStyle w:val="Heading4"/>
        <w:spacing w:after="269"/>
        <w:ind w:left="120"/>
        <w:jc w:val="left"/>
      </w:pPr>
      <w:r>
        <w:rPr>
          <w:rFonts w:ascii="Times New Roman" w:hAnsi="Times New Roman"/>
          <w:i w:val="false"/>
          <w:color w:val="000000"/>
          <w:sz w:val="24"/>
        </w:rPr>
        <w:t>5615.406-3-90</w:t>
      </w:r>
      <w:r>
        <w:rPr>
          <w:rFonts w:ascii="Times New Roman" w:hAnsi="Times New Roman"/>
          <w:i w:val="false"/>
          <w:color w:val="000000"/>
          <w:sz w:val="24"/>
        </w:rPr>
        <w:t xml:space="preserve"> Documenting the Negotiation.</w:t>
      </w:r>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(a) The Business Clearance Memorandum (BCM), used for non-competitive or non-formal source selections, is a record of the business decision process. Contracting officers should tailor this document to meet the specific needs of the procurement. Contracting officers may use the BCM for formal source selections if deemed appropriate.</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obtain Contract Clearance approval after completion of negotiations or discussions and prior to award. The Request for Clearance template (Appendix J of the Source Selection Procedures) can be found in the DCG Table of Contents. The completed BCM including post-negotiation information shall be submitted.</w:t>
      </w:r>
    </w:p>
    <w:p>
      <w:pPr>
        <w:pBdr>
          <w:top w:space="5"/>
          <w:left w:space="5"/>
          <w:bottom w:space="5"/>
          <w:right w:space="5"/>
        </w:pBdr>
        <w:spacing w:after="0"/>
        <w:ind w:left="225"/>
        <w:jc w:val="left"/>
      </w:pPr>
      <w:r>
        <w:rPr>
          <w:rFonts w:ascii="Times New Roman" w:hAnsi="Times New Roman"/>
          <w:b w:val="false"/>
          <w:i w:val="false"/>
          <w:color w:val="000000"/>
          <w:sz w:val="22"/>
        </w:rPr>
        <w:t>(c) Contract Clearance review and approval may be waived by the Business Clearance approval authority if the negotiated amount is within a range approved in the BCM and a model contract containing all applicable terms and conditions was included with the BCM when it was submitted and was also approved. The Contracting Officer must obtain Contract Clearance approval if the negotiated price is outside the approved range or the terms and conditions are significantly changed as a result of the negotiations.</w:t>
      </w:r>
    </w:p>
    <w:p>
      <w:pPr>
        <w:pBdr>
          <w:top w:space="5"/>
          <w:left w:space="5"/>
          <w:bottom w:space="5"/>
          <w:right w:space="5"/>
        </w:pBdr>
        <w:spacing w:after="0"/>
        <w:ind w:left="225"/>
        <w:jc w:val="left"/>
      </w:pPr>
      <w:r>
        <w:rPr>
          <w:rFonts w:ascii="Times New Roman" w:hAnsi="Times New Roman"/>
          <w:b w:val="false"/>
          <w:i w:val="false"/>
          <w:color w:val="000000"/>
          <w:sz w:val="22"/>
        </w:rPr>
        <w:t>(d) Past performance evaluation documentation shall address reports obtained through the Federal Awardee Performance and Integrity Information System (FAPIIS) or when applicable, state that no information on the contractor was found in FAPIIS.</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BCM must address the subcontract plan when applicable in accordance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19.7</w:t>
        </w:r>
      </w:hyperlink>
      <w:r>
        <w:rPr>
          <w:rFonts w:ascii="Times New Roman" w:hAnsi="Times New Roman"/>
          <w:b w:val="false"/>
          <w:i w:val="false"/>
          <w:color w:val="000000"/>
          <w:sz w:val="22"/>
        </w:rPr>
        <w:t xml:space="preserve"> and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44.1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 shall insure that all copies of the BCM are marked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Determination of Responsibility need not be a separate document when the information required by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9.1</w:t>
        </w:r>
      </w:hyperlink>
      <w:r>
        <w:rPr>
          <w:rFonts w:ascii="Times New Roman" w:hAnsi="Times New Roman"/>
          <w:b w:val="false"/>
          <w:i w:val="false"/>
          <w:color w:val="000000"/>
          <w:sz w:val="22"/>
        </w:rPr>
        <w:t xml:space="preserve"> is contained within the BCM.</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uisition.gov/content/part-19-small-business-programs" Type="http://schemas.openxmlformats.org/officeDocument/2006/relationships/hyperlink" Id="rId4"/>
    <Relationship TargetMode="External" Target="https://www.acquisition.gov/content/part-44-subcontracting-policies-and-procedures" Type="http://schemas.openxmlformats.org/officeDocument/2006/relationships/hyperlink" Id="rId5"/>
    <Relationship TargetMode="External" Target="https://www.acquisition.gov/content/part-9-contractor-qualifications"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