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**ID__SOFARS_5616.406__ID**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5616.406</w:t>
      </w:r>
      <w:r>
        <w:rPr>
          <w:rFonts w:ascii="Times New Roman" w:hAnsi="Times New Roman"/>
          <w:color w:val="000000"/>
          <w:sz w:val="31"/>
        </w:rPr>
        <w:t xml:space="preserve"> Contract Clauses.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November 2007)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(f) Contracting officers may insert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5652.216-9002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Withholding of Fixed Fee or Incentive Fee, in cost-plus fixed fee or cost-plus incentive fee contracts where a reduced withholding percentage is negotiated in accordance with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52.216-8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"Fixed Fee," or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52.216-10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"Incentive Fee."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of.atl.socom.mil/sites/K/SOFARS_DCG/SOFARS/5652.docx" Type="http://schemas.openxmlformats.org/officeDocument/2006/relationships/hyperlink" Id="rId4"/>
    <Relationship TargetMode="External" Target="https://www.acquisition.gov/content/part-52-solicitation-provisions-and-contract-clauses" Type="http://schemas.openxmlformats.org/officeDocument/2006/relationships/hyperlink" Id="rId5"/>
    <Relationship TargetMode="External" Target="https://www.acquisition.gov/content/part-52-solicitation-provisions-and-contract-clauses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