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**ID__SOFARS_5601.6023__ID**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5601.602-3</w:t>
      </w:r>
      <w:r>
        <w:rPr>
          <w:rFonts w:ascii="Times New Roman" w:hAnsi="Times New Roman"/>
          <w:i w:val="false"/>
          <w:color w:val="000000"/>
          <w:sz w:val="24"/>
        </w:rPr>
        <w:t xml:space="preserve"> Ratification of Unauthorized Commitments. See DCG for required procedures.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Per the requirements of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FAR 1.602-3(b)(2) and (3)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, ratification authority for all actions shall be reviewed and approved per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Attachment 5601-1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www.acquisition.gov/content/part-1-federal-acquisition-regulations-system" Type="http://schemas.openxmlformats.org/officeDocument/2006/relationships/hyperlink" Id="rId4"/>
    <Relationship TargetMode="External" Target="https://sof.atl.socom.mil/sites/K/SOFARS_DCG/SOFARS/Attachment_5601-1.docx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