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**ID__SOFARS_5617.70391.1__ID**</w:t>
      </w:r>
    </w:p>
    <w:p>
      <w:pPr>
        <w:spacing w:after="360"/>
        <w:ind w:left="120"/>
        <w:jc w:val="left"/>
      </w:pPr>
      <w:r>
        <w:rPr>
          <w:rFonts w:ascii="Times New Roman" w:hAnsi="Times New Roman"/>
          <w:b/>
          <w:i w:val="false"/>
          <w:color w:val="000000"/>
        </w:rPr>
        <w:t>5617.703-91.1</w:t>
      </w:r>
      <w:r>
        <w:rPr>
          <w:rFonts w:ascii="Times New Roman" w:hAnsi="Times New Roman"/>
          <w:b/>
          <w:i w:val="false"/>
          <w:color w:val="000000"/>
        </w:rPr>
        <w:t xml:space="preserve"> Determination and Certification for use of Non–DoD contracts.</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(c) A template for the Determination for Use of a Non-DoD Contract, as well as further information, can be found in the DCG. When the template is not used, Contracting Officers must ensure that the determination document addresses each of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Cost effectiveness, including fees and discounts;</w:t>
      </w:r>
    </w:p>
    <w:p>
      <w:pPr>
        <w:pBdr>
          <w:top w:space="5"/>
          <w:left w:space="5"/>
          <w:bottom w:space="5"/>
          <w:right w:space="5"/>
        </w:pBdr>
        <w:spacing w:after="0"/>
        <w:ind w:left="585"/>
        <w:jc w:val="left"/>
      </w:pPr>
      <w:r>
        <w:rPr>
          <w:rFonts w:ascii="Times New Roman" w:hAnsi="Times New Roman"/>
          <w:b w:val="false"/>
          <w:i w:val="false"/>
          <w:color w:val="000000"/>
          <w:sz w:val="22"/>
        </w:rPr>
        <w:t>(3) Performances of market research and identification of multiple sources;</w:t>
      </w:r>
    </w:p>
    <w:p>
      <w:pPr>
        <w:pBdr>
          <w:top w:space="5"/>
          <w:left w:space="5"/>
          <w:bottom w:space="5"/>
          <w:right w:space="5"/>
        </w:pBdr>
        <w:spacing w:after="0"/>
        <w:ind w:left="585"/>
        <w:jc w:val="left"/>
      </w:pPr>
      <w:r>
        <w:rPr>
          <w:rFonts w:ascii="Times New Roman" w:hAnsi="Times New Roman"/>
          <w:b w:val="false"/>
          <w:i w:val="false"/>
          <w:color w:val="000000"/>
          <w:sz w:val="22"/>
        </w:rPr>
        <w:t>(4) Whether the requirement is within the scope of the intended contract vehicle;</w:t>
      </w:r>
    </w:p>
    <w:p>
      <w:pPr>
        <w:pBdr>
          <w:top w:space="5"/>
          <w:left w:space="5"/>
          <w:bottom w:space="5"/>
          <w:right w:space="5"/>
        </w:pBdr>
        <w:spacing w:after="0"/>
        <w:ind w:left="585"/>
        <w:jc w:val="left"/>
      </w:pPr>
      <w:r>
        <w:rPr>
          <w:rFonts w:ascii="Times New Roman" w:hAnsi="Times New Roman"/>
          <w:b w:val="false"/>
          <w:i w:val="false"/>
          <w:color w:val="000000"/>
          <w:sz w:val="22"/>
        </w:rPr>
        <w:t>(5) Small business considerations such as bundling or subcontracting opportunities;</w:t>
      </w:r>
    </w:p>
    <w:p>
      <w:pPr>
        <w:pBdr>
          <w:top w:space="5"/>
          <w:left w:space="5"/>
          <w:bottom w:space="5"/>
          <w:right w:space="5"/>
        </w:pBdr>
        <w:spacing w:after="0"/>
        <w:ind w:left="585"/>
        <w:jc w:val="left"/>
      </w:pPr>
      <w:r>
        <w:rPr>
          <w:rFonts w:ascii="Times New Roman" w:hAnsi="Times New Roman"/>
          <w:b w:val="false"/>
          <w:i w:val="false"/>
          <w:color w:val="000000"/>
          <w:sz w:val="22"/>
        </w:rPr>
        <w:t>(6)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(7)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(8) Contract administration considerations;</w:t>
      </w:r>
    </w:p>
    <w:p>
      <w:pPr>
        <w:pBdr>
          <w:top w:space="5"/>
          <w:left w:space="5"/>
          <w:bottom w:space="5"/>
          <w:right w:space="5"/>
        </w:pBdr>
        <w:spacing w:after="0"/>
        <w:ind w:left="585"/>
        <w:jc w:val="left"/>
      </w:pPr>
      <w:r>
        <w:rPr>
          <w:rFonts w:ascii="Times New Roman" w:hAnsi="Times New Roman"/>
          <w:b w:val="false"/>
          <w:i w:val="false"/>
          <w:color w:val="000000"/>
          <w:sz w:val="22"/>
        </w:rPr>
        <w:t>(9) Consistency of the funding appropriation.</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