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**ID__SOFARS_SUBPART_5619.201__ID**</w:t>
      </w:r>
    </w:p>
    <w:p>
      <w:pPr>
        <w:pStyle w:val="Heading3"/>
        <w:spacing w:after="199"/>
        <w:ind w:left="120"/>
        <w:jc w:val="center"/>
      </w:pPr>
      <w:r>
        <w:rPr>
          <w:rFonts w:ascii="Times New Roman" w:hAnsi="Times New Roman"/>
          <w:color w:val="000000"/>
          <w:sz w:val="31"/>
        </w:rPr>
        <w:t>SUBPART 5619.201</w:t>
      </w:r>
      <w:r>
        <w:rPr>
          <w:rFonts w:ascii="Times New Roman" w:hAnsi="Times New Roman"/>
          <w:color w:val="000000"/>
          <w:sz w:val="31"/>
        </w:rPr>
        <w:t xml:space="preserve"> General Policy.</w:t>
      </w:r>
    </w:p>
    <w:p>
      <w:pPr>
        <w:pStyle w:val="Normal"/>
        <w:pBdr>
          <w:top w:space="5"/>
          <w:left w:space="5"/>
          <w:bottom w:space="5"/>
          <w:right w:space="5"/>
        </w:pBdr>
        <w:spacing w:after="0"/>
        <w:ind w:left="225"/>
        <w:jc w:val="left"/>
      </w:pPr>
      <w:r>
        <w:rPr>
          <w:rFonts w:ascii="Times New Roman" w:hAnsi="Times New Roman"/>
          <w:i/>
          <w:color w:val="000000"/>
        </w:rPr>
        <w:t>(Revised October 2010)</w:t>
      </w:r>
    </w:p>
    <w:p>
      <w:pPr>
        <w:pBdr>
          <w:top w:space="5"/>
          <w:left w:space="5"/>
          <w:bottom w:space="5"/>
          <w:right w:space="5"/>
        </w:pBdr>
        <w:spacing w:after="0"/>
        <w:ind w:left="225"/>
        <w:jc w:val="left"/>
      </w:pPr>
      <w:r>
        <w:rPr>
          <w:rFonts w:ascii="Times New Roman" w:hAnsi="Times New Roman"/>
          <w:b w:val="false"/>
          <w:i w:val="false"/>
          <w:color w:val="000000"/>
          <w:sz w:val="22"/>
        </w:rPr>
        <w:t>(d)(10)(1) The Small Business Coordination Record (DD 2579) shall be completed by the contract specialist and reviewed by the Small Business Specialist on all acquisitions (including Federal Supply Schedule orders) over $10,000, except those under the simplified acquisition threshold that are totally set aside for small business concerns.</w:t>
      </w:r>
    </w:p>
    <w:p>
      <w:pPr>
        <w:pBdr>
          <w:top w:space="5"/>
          <w:left w:space="5"/>
          <w:bottom w:space="5"/>
          <w:right w:space="5"/>
        </w:pBdr>
        <w:spacing w:after="0"/>
        <w:ind w:left="945"/>
        <w:jc w:val="left"/>
      </w:pPr>
      <w:r>
        <w:rPr>
          <w:rFonts w:ascii="Times New Roman" w:hAnsi="Times New Roman"/>
          <w:b w:val="false"/>
          <w:i w:val="false"/>
          <w:color w:val="000000"/>
          <w:sz w:val="22"/>
        </w:rPr>
        <w:t>(2)Reserved.</w:t>
      </w:r>
    </w:p>
    <w:p>
      <w:pPr>
        <w:pBdr>
          <w:top w:space="5"/>
          <w:left w:space="5"/>
          <w:bottom w:space="5"/>
          <w:right w:space="5"/>
        </w:pBdr>
        <w:spacing w:after="0"/>
        <w:ind w:left="945"/>
        <w:jc w:val="left"/>
      </w:pPr>
      <w:r>
        <w:rPr>
          <w:rFonts w:ascii="Times New Roman" w:hAnsi="Times New Roman"/>
          <w:b w:val="false"/>
          <w:i w:val="false"/>
          <w:color w:val="000000"/>
          <w:sz w:val="22"/>
        </w:rPr>
        <w:t xml:space="preserve">(3)Attach the Market Research Report (see DCG) to the Small Business Coordination Record (DD 2579) when submitting the DD 2579 for approval of acquisitions above the simplified acquisition threshold. Market research policies are located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and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Part 10</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uisition.gov/content/part-10-market-research" Type="http://schemas.openxmlformats.org/officeDocument/2006/relationships/hyperlink" Id="rId4"/>
    <Relationship TargetMode="External" Target="https://www.acquisition.gov/dfars/part-210-market-research" Type="http://schemas.openxmlformats.org/officeDocument/2006/relationships/hyperlink" Id="rId5"/>
    <Relationship TargetMode="External" Target="https://sof.atl.socom.mil/sites/K/SOFARS_DCG/SOFARS/5610.htm"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