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**ID__SOFARS_PART_5622__ID**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5622</w:t>
      </w:r>
      <w:r>
        <w:rPr>
          <w:rFonts w:ascii="Times New Roman" w:hAnsi="Times New Roman"/>
          <w:color w:val="000000"/>
        </w:rPr>
        <w:t xml:space="preserve"> APPLICATION OF LABOR LAWS TO GOVERNMENT ACQUISITIONS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5622.001 – DEFINITIONS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5622.1 – BASIC LABOR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5622.103 Overtime.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5622.103-4 Approvals.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622.001.dita#SOFARS_5622.001" Type="http://schemas.openxmlformats.org/officeDocument/2006/relationships/hyperlink" Id="rId4"/>
    <Relationship TargetMode="External" Target="SUBPART_5622.1.dita#SOFARS_SUBPART_5622.1" Type="http://schemas.openxmlformats.org/officeDocument/2006/relationships/hyperlink" Id="rId5"/>
    <Relationship TargetMode="External" Target="5622.103.dita#SOFARS_5622.103" Type="http://schemas.openxmlformats.org/officeDocument/2006/relationships/hyperlink" Id="rId6"/>
    <Relationship TargetMode="External" Target="5622.1034.dita#SOFARS_5622.1034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