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5627</w:t>
      </w:r>
      <w:r>
        <w:rPr>
          <w:rFonts w:ascii="Times New Roman" w:hAnsi="Times New Roman"/>
          <w:color w:val="000000"/>
        </w:rPr>
        <w:t xml:space="preserve"> PATENTS, DATA,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5627.3 – PATENT RIGHTS UNDER GOVERNMENT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5627.305 Administration of Patent Rights.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5627.305-3 Securing invention rights acquired by the Government.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5627.70 – INFRINGEMENT CLAIMS, LICENSES, AND ASSIGNMENTS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5627.7004 Requirements for Filing an Administrative Claim for Patent Infringements.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27.3.dita#SOFARS_SUBPART_5627.3" Type="http://schemas.openxmlformats.org/officeDocument/2006/relationships/hyperlink" Id="rId4"/>
    <Relationship TargetMode="External" Target="5627.305.dita#SOFARS_5627.305" Type="http://schemas.openxmlformats.org/officeDocument/2006/relationships/hyperlink" Id="rId5"/>
    <Relationship TargetMode="External" Target="5627.3053.dita#SOFARS_5627.3053" Type="http://schemas.openxmlformats.org/officeDocument/2006/relationships/hyperlink" Id="rId6"/>
    <Relationship TargetMode="External" Target="SUBPART_5627.70.dita#SOFARS_SUBPART_5627.70" Type="http://schemas.openxmlformats.org/officeDocument/2006/relationships/hyperlink" Id="rId7"/>
    <Relationship TargetMode="External" Target="5627.7004.dita#SOFARS_5627.7004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