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**ID__SOFARS_5601.603390__ID**</w:t>
      </w:r>
    </w:p>
    <w:p>
      <w:pPr>
        <w:pStyle w:val="Heading4"/>
        <w:spacing w:after="269"/>
        <w:ind w:left="120"/>
        <w:jc w:val="left"/>
      </w:pPr>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r:id="rId4">
        <w:r>
          <w:rPr>
            <w:rStyle w:val="Hyperlink"/>
            <w:rFonts w:ascii="Times New Roman" w:hAnsi="Times New Roman"/>
            <w:b w:val="false"/>
            <w:i w:val="false"/>
            <w:color w:val="0000ff"/>
            <w:sz w:val="22"/>
            <w:u w:val="single"/>
          </w:rPr>
          <w:t>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601.6033.dita#SOFARS_5601.603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