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**ID__SOFARS_5628.1031__ID**</w:t>
      </w:r>
    </w:p>
    <w:p>
      <w:pPr>
        <w:pStyle w:val="Heading4"/>
        <w:spacing w:after="269"/>
        <w:ind w:left="120"/>
        <w:jc w:val="left"/>
      </w:pPr>
      <w:r>
        <w:rPr>
          <w:rFonts w:ascii="Times New Roman" w:hAnsi="Times New Roman"/>
          <w:i w:val="false"/>
          <w:color w:val="000000"/>
          <w:sz w:val="24"/>
        </w:rPr>
        <w:t>5628.103-1</w:t>
      </w:r>
      <w:r>
        <w:rPr>
          <w:rFonts w:ascii="Times New Roman" w:hAnsi="Times New Roman"/>
          <w:i w:val="false"/>
          <w:color w:val="000000"/>
          <w:sz w:val="24"/>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