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**ID__SOFARS_5601.604__ID**</w:t>
      </w:r>
    </w:p>
    <w:p>
      <w:pPr>
        <w:pStyle w:val="Heading3"/>
        <w:spacing w:after="199"/>
        <w:ind w:left="120"/>
        <w:jc w:val="left"/>
      </w:pPr>
      <w:r>
        <w:rPr>
          <w:rFonts w:ascii="Times New Roman" w:hAnsi="Times New Roman"/>
          <w:color w:val="000000"/>
          <w:sz w:val="31"/>
        </w:rPr>
        <w:t>5601.604</w:t>
      </w:r>
      <w:r>
        <w:rPr>
          <w:rFonts w:ascii="Times New Roman" w:hAnsi="Times New Roman"/>
          <w:color w:val="000000"/>
          <w:sz w:val="31"/>
        </w:rPr>
        <w:t xml:space="preserve"> Contracting Officer’s Representative.</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(KO) shall request and the requiring activity (i.e. each Center, Component, and/or Theater Special Operations Command (TSOC)) shall nominate a Contracting Officer’s Representative (COR)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5000.72,</w:t>
        </w:r>
        <w:r>
          <w:rPr>
            <w:rFonts w:ascii="Times New Roman" w:hAnsi="Times New Roman"/>
            <w:b w:val="false"/>
            <w:i/>
            <w:color w:val="0000ff"/>
            <w:sz w:val="22"/>
            <w:u w:val="single"/>
          </w:rPr>
          <w:t>DoD Standard for Contracting Officer’s Representative (COR) Certification</w:t>
        </w:r>
      </w:hyperlink>
      <w:r>
        <w:rPr>
          <w:rFonts w:ascii="Times New Roman" w:hAnsi="Times New Roman"/>
          <w:b w:val="false"/>
          <w:i w:val="false"/>
          <w:color w:val="000000"/>
          <w:sz w:val="22"/>
        </w:rPr>
        <w:t xml:space="preserve"> for all service contracts, including construction unless the conditions at DFARS PGI 201.602-2(d)(v)(A) are met.</w:t>
      </w:r>
    </w:p>
    <w:p>
      <w:pPr>
        <w:pBdr>
          <w:top w:space="5"/>
          <w:left w:space="5"/>
          <w:bottom w:space="5"/>
          <w:right w:space="5"/>
        </w:pBdr>
        <w:spacing w:after="0"/>
        <w:ind w:left="225"/>
        <w:jc w:val="left"/>
      </w:pPr>
      <w:r>
        <w:rPr>
          <w:rFonts w:ascii="Times New Roman" w:hAnsi="Times New Roman"/>
          <w:b w:val="false"/>
          <w:i w:val="false"/>
          <w:color w:val="000000"/>
          <w:sz w:val="22"/>
        </w:rPr>
        <w:t>(b) The KO will determine if a single COR or multiple/alternate CORs (i.e. PCOR/TR) are required to assist in technical monitoring or administration of a contract.</w:t>
      </w:r>
    </w:p>
    <w:p>
      <w:pPr>
        <w:pBdr>
          <w:top w:space="5"/>
          <w:left w:space="5"/>
          <w:bottom w:space="5"/>
          <w:right w:space="5"/>
        </w:pBdr>
        <w:spacing w:after="0"/>
        <w:ind w:left="585"/>
        <w:jc w:val="left"/>
      </w:pPr>
      <w:r>
        <w:rPr>
          <w:rFonts w:ascii="Times New Roman" w:hAnsi="Times New Roman"/>
          <w:b w:val="false"/>
          <w:i w:val="false"/>
          <w:color w:val="000000"/>
          <w:sz w:val="22"/>
        </w:rP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w:pPr>
        <w:pBdr>
          <w:top w:space="5"/>
          <w:left w:space="5"/>
          <w:bottom w:space="5"/>
          <w:right w:space="5"/>
        </w:pBdr>
        <w:spacing w:after="0"/>
        <w:ind w:left="585"/>
        <w:jc w:val="left"/>
      </w:pPr>
      <w:r>
        <w:rPr>
          <w:rFonts w:ascii="Times New Roman" w:hAnsi="Times New Roman"/>
          <w:b w:val="false"/>
          <w:i w:val="false"/>
          <w:color w:val="000000"/>
          <w:sz w:val="22"/>
        </w:rPr>
        <w:t>(2) Technical Representative (TR) – The TR is designated by the COR via the TR letter of appointment and is accountable to the COR for performance of his or her designated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Minimum COR competencies, experience and training will be based on the contract’s dollar value, complexity, and performance risk. One of the following types of standards will be assigned.</w:t>
      </w:r>
    </w:p>
    <w:p>
      <w:pPr>
        <w:pBdr>
          <w:top w:space="5"/>
          <w:left w:space="5"/>
          <w:bottom w:space="5"/>
          <w:right w:space="5"/>
        </w:pBdr>
        <w:spacing w:after="0"/>
        <w:ind w:left="585"/>
        <w:jc w:val="left"/>
      </w:pPr>
      <w:r>
        <w:rPr>
          <w:rFonts w:ascii="Times New Roman" w:hAnsi="Times New Roman"/>
          <w:b w:val="false"/>
          <w:i w:val="false"/>
          <w:color w:val="000000"/>
          <w:sz w:val="22"/>
        </w:rPr>
        <w:t>(1) Type A: Fixed-price contracts without incentives and low performance risk.</w:t>
      </w:r>
    </w:p>
    <w:p>
      <w:pPr>
        <w:pBdr>
          <w:top w:space="5"/>
          <w:left w:space="5"/>
          <w:bottom w:space="5"/>
          <w:right w:space="5"/>
        </w:pBdr>
        <w:spacing w:after="0"/>
        <w:ind w:left="585"/>
        <w:jc w:val="left"/>
      </w:pPr>
      <w:r>
        <w:rPr>
          <w:rFonts w:ascii="Times New Roman" w:hAnsi="Times New Roman"/>
          <w:b w:val="false"/>
          <w:i w:val="false"/>
          <w:color w:val="000000"/>
          <w:sz w:val="22"/>
        </w:rPr>
        <w:t>(2) Type B: Fixed-price contracts without incentives other than low performance risk; and other than fixed-price contracts. This includes everything other than Types A and C.</w:t>
      </w:r>
    </w:p>
    <w:p>
      <w:pPr>
        <w:pBdr>
          <w:top w:space="5"/>
          <w:left w:space="5"/>
          <w:bottom w:space="5"/>
          <w:right w:space="5"/>
        </w:pBdr>
        <w:spacing w:after="0"/>
        <w:ind w:left="585"/>
        <w:jc w:val="left"/>
      </w:pPr>
      <w:r>
        <w:rPr>
          <w:rFonts w:ascii="Times New Roman" w:hAnsi="Times New Roman"/>
          <w:b w:val="false"/>
          <w:i w:val="false"/>
          <w:color w:val="000000"/>
          <w:sz w:val="22"/>
        </w:rPr>
        <w:t>(3) Type C: Unique contract requirements that necessitate the COR have a higher education or specialized training beyond the Type B requirements.</w:t>
      </w:r>
    </w:p>
    <w:p>
      <w:pPr>
        <w:pBdr>
          <w:top w:space="5"/>
          <w:left w:space="5"/>
          <w:bottom w:space="5"/>
          <w:right w:space="5"/>
        </w:pBdr>
        <w:spacing w:after="0"/>
        <w:ind w:left="585"/>
        <w:jc w:val="left"/>
      </w:pPr>
      <w:r>
        <w:rPr>
          <w:rFonts w:ascii="Times New Roman" w:hAnsi="Times New Roman"/>
          <w:b w:val="false"/>
          <w:i w:val="false"/>
          <w:color w:val="000000"/>
          <w:sz w:val="22"/>
        </w:rPr>
        <w:t>(4) All COR training must be completed before undertaking COR responsibilities.</w:t>
      </w:r>
    </w:p>
    <w:p>
      <w:pPr>
        <w:pBdr>
          <w:top w:space="5"/>
          <w:left w:space="5"/>
          <w:bottom w:space="5"/>
          <w:right w:space="5"/>
        </w:pBdr>
        <w:spacing w:after="0"/>
        <w:ind w:left="225"/>
        <w:jc w:val="left"/>
      </w:pPr>
      <w:r>
        <w:rPr>
          <w:rFonts w:ascii="Times New Roman" w:hAnsi="Times New Roman"/>
          <w:b w:val="false"/>
          <w:i w:val="false"/>
          <w:color w:val="000000"/>
          <w:sz w:val="22"/>
        </w:rPr>
        <w:t>(d) Procedures.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execute the COR appointment in the DoD Procurement Integrated Enterprise Environment (PIEE) Joint Appointment Module (JAM)</w:t>
      </w:r>
    </w:p>
    <w:p>
      <w:pPr>
        <w:pBdr>
          <w:top w:space="5"/>
          <w:left w:space="5"/>
          <w:bottom w:space="5"/>
          <w:right w:space="5"/>
        </w:pBdr>
        <w:spacing w:after="0"/>
        <w:ind w:left="945"/>
        <w:jc w:val="left"/>
      </w:pPr>
      <w:r>
        <w:rPr>
          <w:rFonts w:ascii="Times New Roman" w:hAnsi="Times New Roman"/>
          <w:b w:val="false"/>
          <w:i w:val="false"/>
          <w:color w:val="000000"/>
          <w:sz w:val="22"/>
        </w:rPr>
        <w:t>(i) IAW OUSD(AT&amp;L) memorandum, dated February 10, 2014, Update to the Department of Defense Contracting Officer Representative Tracking Tool, classified contracts are waived from this requirement. The KO will accomplish an annual administrative review of COR files.</w:t>
      </w:r>
    </w:p>
    <w:p>
      <w:pPr>
        <w:pBdr>
          <w:top w:space="5"/>
          <w:left w:space="5"/>
          <w:bottom w:space="5"/>
          <w:right w:space="5"/>
        </w:pBdr>
        <w:spacing w:after="0"/>
        <w:ind w:left="945"/>
        <w:jc w:val="left"/>
      </w:pPr>
      <w:r>
        <w:rPr>
          <w:rFonts w:ascii="Times New Roman" w:hAnsi="Times New Roman"/>
          <w:b w:val="false"/>
          <w:i w:val="false"/>
          <w:color w:val="000000"/>
          <w:sz w:val="22"/>
        </w:rP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w:pPr>
        <w:pBdr>
          <w:top w:space="5"/>
          <w:left w:space="5"/>
          <w:bottom w:space="5"/>
          <w:right w:space="5"/>
        </w:pBdr>
        <w:spacing w:after="0"/>
        <w:ind w:left="585"/>
        <w:jc w:val="left"/>
      </w:pPr>
      <w:r>
        <w:rPr>
          <w:rFonts w:ascii="Times New Roman" w:hAnsi="Times New Roman"/>
          <w:b w:val="false"/>
          <w:i w:val="false"/>
          <w:color w:val="000000"/>
          <w:sz w:val="22"/>
        </w:rPr>
        <w:t>(2) The COR must file and OGE 450 unless the KO determines that there is no conflict of interest between the contractor or and of its subsidiaries. If necessary, request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Enclosure 4</w:t>
        </w:r>
      </w:hyperlink>
      <w:r>
        <w:rPr>
          <w:rFonts w:ascii="Times New Roman" w:hAnsi="Times New Roman"/>
          <w:b w:val="false"/>
          <w:i w:val="false"/>
          <w:color w:val="000000"/>
          <w:sz w:val="22"/>
        </w:rPr>
        <w:t>COR Performance and Appraisal:</w:t>
      </w:r>
    </w:p>
    <w:p>
      <w:pPr>
        <w:pBdr>
          <w:top w:space="5"/>
          <w:left w:space="5"/>
          <w:bottom w:space="5"/>
          <w:right w:space="5"/>
        </w:pBdr>
        <w:spacing w:after="0"/>
        <w:ind w:left="585"/>
        <w:jc w:val="left"/>
      </w:pPr>
      <w:r>
        <w:rPr>
          <w:rFonts w:ascii="Times New Roman" w:hAnsi="Times New Roman"/>
          <w:b w:val="false"/>
          <w:i w:val="false"/>
          <w:color w:val="000000"/>
          <w:sz w:val="22"/>
        </w:rP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w:pPr>
        <w:pBdr>
          <w:top w:space="5"/>
          <w:left w:space="5"/>
          <w:bottom w:space="5"/>
          <w:right w:space="5"/>
        </w:pBdr>
        <w:spacing w:after="0"/>
        <w:ind w:left="585"/>
        <w:jc w:val="left"/>
      </w:pPr>
      <w:r>
        <w:rPr>
          <w:rFonts w:ascii="Times New Roman" w:hAnsi="Times New Roman"/>
          <w:b w:val="false"/>
          <w:i w:val="false"/>
          <w:color w:val="000000"/>
          <w:sz w:val="22"/>
        </w:rPr>
        <w:t>(2) The COR’s supervisor will ensure COR participation in the pre-award process and performance of COR duties/responsibilities are properly addressed in the COR’s annual performance appraisal.</w:t>
      </w:r>
    </w:p>
    <w:p>
      <w:pPr>
        <w:pBdr>
          <w:top w:space="5"/>
          <w:left w:space="5"/>
          <w:bottom w:space="5"/>
          <w:right w:space="5"/>
        </w:pBdr>
        <w:spacing w:after="0"/>
        <w:ind w:left="225"/>
        <w:jc w:val="left"/>
      </w:pPr>
      <w:r>
        <w:rPr>
          <w:rFonts w:ascii="Times New Roman" w:hAnsi="Times New Roman"/>
          <w:b w:val="false"/>
          <w:i w:val="false"/>
          <w:color w:val="000000"/>
          <w:sz w:val="22"/>
        </w:rPr>
        <w:t xml:space="preserve">(f) Examples of COR Responsibilities and Certification Requirements: See </w:t>
      </w:r>
      <w:hyperlink r:id="rId6">
        <w:r>
          <w:rPr>
            <w:rStyle w:val="Hyperlink"/>
            <w:rFonts w:ascii="Times New Roman" w:hAnsi="Times New Roman"/>
            <w:b w:val="false"/>
            <w:i w:val="false"/>
            <w:color w:val="0000ff"/>
            <w:sz w:val="22"/>
            <w:u w:val="single"/>
          </w:rPr>
          <w:t>DoDI 5000.72 Enclosure 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See DCG for templates to request COR support, COR designation, and COR termination.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esd.whs.mil/Portals/54/Documents/DD/issuances/dodi/500072p.PDF" Type="http://schemas.openxmlformats.org/officeDocument/2006/relationships/hyperlink" Id="rId4"/>
    <Relationship TargetMode="External" Target="https://www.esd.whs.mil/Portals/54/Documents/DD/issuances/dodi/500072p.PDF" Type="http://schemas.openxmlformats.org/officeDocument/2006/relationships/hyperlink" Id="rId5"/>
    <Relationship TargetMode="External" Target="https://www.esd.whs.mil/Portals/54/Documents/DD/issuances/dodi/500072p.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