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**ID__SOFARS_5628.10690__ID**</w:t>
      </w:r>
    </w:p>
    <w:p>
      <w:pPr>
        <w:pStyle w:val="Heading4"/>
        <w:spacing w:after="269"/>
        <w:ind w:left="120"/>
        <w:jc w:val="left"/>
      </w:pPr>
      <w:r>
        <w:rPr>
          <w:rFonts w:ascii="Times New Roman" w:hAnsi="Times New Roman"/>
          <w:i w:val="false"/>
          <w:color w:val="000000"/>
          <w:sz w:val="24"/>
        </w:rPr>
        <w:t>5628.106-90</w:t>
      </w:r>
      <w:r>
        <w:rPr>
          <w:rFonts w:ascii="Times New Roman" w:hAnsi="Times New Roman"/>
          <w:i w:val="false"/>
          <w:color w:val="000000"/>
          <w:sz w:val="24"/>
        </w:rPr>
        <w:t xml:space="preserve"> Review of Bonds and Notification of Surety.</w:t>
      </w:r>
    </w:p>
    <w:p>
      <w:pPr>
        <w:pStyle w:val="Normal"/>
        <w:pBdr>
          <w:top w:space="5"/>
          <w:left w:space="5"/>
          <w:bottom w:space="5"/>
          <w:right w:space="5"/>
        </w:pBdr>
        <w:spacing w:after="0"/>
        <w:ind w:left="225"/>
        <w:jc w:val="left"/>
      </w:pPr>
      <w:r>
        <w:rPr>
          <w:rFonts w:ascii="Times New Roman" w:hAnsi="Times New Roman"/>
          <w:color w:val="000000"/>
        </w:rPr>
        <w:t>All performance and payment bonds and all consents of surety shall be reviewed using the Air Force form 3012 or similar format. The review and documented in the contract file. When doubt of legal sufficiency exists, legal counsel shall be sought.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