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**ID__SOFARS_PART_5631__ID**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SOFARS PART 5631</w:t>
      </w:r>
      <w:r>
        <w:rPr>
          <w:rFonts w:ascii="Times New Roman" w:hAnsi="Times New Roman"/>
          <w:color w:val="000000"/>
          <w:sz w:val="48"/>
        </w:rPr>
        <w:t xml:space="preserve"> CONTRACT COST PRINCIPLES AND PROCEDURES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5631.2 – CONTRACTS WITH COMMERCIAL ORGANIZATIONS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5631.205 Selected Costs.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5631.205-32 Pre–Contract Costs.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5631.205-46 Travel Costs (Removed August 2017).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31.2.dita#SOFARS_SUBPART_5631.2" Type="http://schemas.openxmlformats.org/officeDocument/2006/relationships/hyperlink" Id="rId4"/>
    <Relationship TargetMode="External" Target="5631.205.dita#SOFARS_5631.205" Type="http://schemas.openxmlformats.org/officeDocument/2006/relationships/hyperlink" Id="rId5"/>
    <Relationship TargetMode="External" Target="5631.20532.dita#SOFARS_5631.20532" Type="http://schemas.openxmlformats.org/officeDocument/2006/relationships/hyperlink" Id="rId6"/>
    <Relationship TargetMode="External" Target="5631.20546.dita#SOFARS_5631.20546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