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**ID__SOFARS_5633.102__ID**</w:t>
      </w:r>
    </w:p>
    <w:p>
      <w:pPr>
        <w:pStyle w:val="Heading3"/>
        <w:spacing w:after="199"/>
        <w:ind w:left="120"/>
        <w:jc w:val="left"/>
      </w:pPr>
      <w:r>
        <w:rPr>
          <w:rFonts w:ascii="Times New Roman" w:hAnsi="Times New Roman"/>
          <w:color w:val="000000"/>
          <w:sz w:val="31"/>
        </w:rPr>
        <w:t>5633.102</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w:pPr>
        <w:pBdr>
          <w:top w:space="5"/>
          <w:left w:space="5"/>
          <w:bottom w:space="5"/>
          <w:right w:space="5"/>
        </w:pBdr>
        <w:spacing w:after="0"/>
        <w:ind w:left="945"/>
        <w:jc w:val="left"/>
      </w:pPr>
      <w:r>
        <w:rPr>
          <w:rFonts w:ascii="Times New Roman" w:hAnsi="Times New Roman"/>
          <w:b w:val="false"/>
          <w:i w:val="false"/>
          <w:color w:val="000000"/>
          <w:sz w:val="22"/>
        </w:rPr>
        <w:t>(i) Summary: Description of supplies or services, RFP release date, periods of performance. Provide type of protest (e.g. agency or to GAO); pre or post award protest, and general basis for the protest.</w:t>
      </w:r>
    </w:p>
    <w:p>
      <w:pPr>
        <w:pBdr>
          <w:top w:space="5"/>
          <w:left w:space="5"/>
          <w:bottom w:space="5"/>
          <w:right w:space="5"/>
        </w:pBdr>
        <w:spacing w:after="0"/>
        <w:ind w:left="945"/>
        <w:jc w:val="left"/>
      </w:pPr>
      <w:r>
        <w:rPr>
          <w:rFonts w:ascii="Times New Roman" w:hAnsi="Times New Roman"/>
          <w:b w:val="false"/>
          <w:i w:val="false"/>
          <w:color w:val="000000"/>
          <w:sz w:val="22"/>
        </w:rPr>
        <w:t>(ii) Unit Impact: Describe the impact to the requiring activity (e.g. loss of continuing service, delay in new equipment or services). In general, address how the requiring activity is affected by any delays or actions associated with the protest.</w:t>
      </w:r>
    </w:p>
    <w:p>
      <w:pPr>
        <w:pBdr>
          <w:top w:space="5"/>
          <w:left w:space="5"/>
          <w:bottom w:space="5"/>
          <w:right w:space="5"/>
        </w:pBdr>
        <w:spacing w:after="0"/>
        <w:ind w:left="945"/>
        <w:jc w:val="left"/>
      </w:pPr>
      <w:r>
        <w:rPr>
          <w:rFonts w:ascii="Times New Roman" w:hAnsi="Times New Roman"/>
          <w:b w:val="false"/>
          <w:i w:val="false"/>
          <w:color w:val="000000"/>
          <w:sz w:val="22"/>
        </w:rPr>
        <w:t>(iii) GAO or Agency Decision Timeline: Date decision is expected or the protest is otherwise resolved.</w:t>
      </w:r>
    </w:p>
    <w:p>
      <w:pPr>
        <w:pBdr>
          <w:top w:space="5"/>
          <w:left w:space="5"/>
          <w:bottom w:space="5"/>
          <w:right w:space="5"/>
        </w:pBdr>
        <w:spacing w:after="0"/>
        <w:ind w:left="585"/>
        <w:jc w:val="left"/>
      </w:pPr>
      <w:r>
        <w:rPr>
          <w:rFonts w:ascii="Times New Roman" w:hAnsi="Times New Roman"/>
          <w:b w:val="false"/>
          <w:i w:val="false"/>
          <w:color w:val="000000"/>
          <w:sz w:val="22"/>
        </w:rPr>
        <w:t>(2) See the DCG for the responsibilities for recording and tracking protests.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