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**ID__SOFARS_5633.212__ID**</w:t>
      </w:r>
    </w:p>
    <w:p>
      <w:pPr>
        <w:pStyle w:val="Heading3"/>
        <w:spacing w:after="199"/>
        <w:ind w:left="120"/>
        <w:jc w:val="left"/>
      </w:pPr>
      <w:r>
        <w:rPr>
          <w:rFonts w:ascii="Times New Roman" w:hAnsi="Times New Roman"/>
          <w:color w:val="000000"/>
          <w:sz w:val="31"/>
        </w:rPr>
        <w:t>5633.212</w:t>
      </w:r>
      <w:r>
        <w:rPr>
          <w:rFonts w:ascii="Times New Roman" w:hAnsi="Times New Roman"/>
          <w:color w:val="000000"/>
          <w:sz w:val="31"/>
        </w:rPr>
        <w:t xml:space="preserve"> Contracting Officer Duties Upon Appeal.</w:t>
      </w:r>
    </w:p>
    <w:p>
      <w:pPr>
        <w:pBdr>
          <w:top w:space="5"/>
          <w:left w:space="5"/>
          <w:bottom w:space="5"/>
          <w:right w:space="5"/>
        </w:pBdr>
        <w:spacing w:after="0"/>
        <w:ind w:left="225"/>
        <w:jc w:val="left"/>
      </w:pPr>
      <w:r>
        <w:rPr>
          <w:rFonts w:ascii="Times New Roman" w:hAnsi="Times New Roman"/>
          <w:b w:val="false"/>
          <w:i w:val="false"/>
          <w:color w:val="000000"/>
          <w:sz w:val="22"/>
        </w:rP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w:pPr>
        <w:pBdr>
          <w:top w:space="5"/>
          <w:left w:space="5"/>
          <w:bottom w:space="5"/>
          <w:right w:space="5"/>
        </w:pBdr>
        <w:spacing w:after="0"/>
        <w:ind w:left="225"/>
        <w:jc w:val="left"/>
      </w:pPr>
      <w:r>
        <w:rPr>
          <w:rFonts w:ascii="Times New Roman" w:hAnsi="Times New Roman"/>
          <w:b w:val="false"/>
          <w:i w:val="false"/>
          <w:color w:val="000000"/>
          <w:sz w:val="22"/>
        </w:rPr>
        <w:t>(b) Upon learning of an appeal to the ASBCA, the Contracting Officer shall comply with Rule 4 of the ASBCA Rules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Appendix A, Part 2</w:t>
        </w:r>
      </w:hyperlink>
      <w:r>
        <w:rPr>
          <w:rFonts w:ascii="Times New Roman" w:hAnsi="Times New Roman"/>
          <w:b w:val="false"/>
          <w:i w:val="false"/>
          <w:color w:val="000000"/>
          <w:sz w:val="22"/>
        </w:rP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Subpart 224.2</w:t>
        </w:r>
      </w:hyperlink>
      <w:r>
        <w:rPr>
          <w:rFonts w:ascii="Times New Roman" w:hAnsi="Times New Roman"/>
          <w:b w:val="false"/>
          <w:i w:val="false"/>
          <w:color w:val="000000"/>
          <w:sz w:val="22"/>
        </w:rP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w:pPr>
        <w:pBdr>
          <w:top w:space="5"/>
          <w:left w:space="5"/>
          <w:bottom w:space="5"/>
          <w:right w:space="5"/>
        </w:pBdr>
        <w:spacing w:after="0"/>
        <w:ind w:left="225"/>
        <w:jc w:val="left"/>
      </w:pPr>
      <w:r>
        <w:rPr>
          <w:rFonts w:ascii="Times New Roman" w:hAnsi="Times New Roman"/>
          <w:b w:val="false"/>
          <w:i w:val="false"/>
          <w:color w:val="000000"/>
          <w:sz w:val="22"/>
        </w:rP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dfars/appendix-a%E2%80%93armed-services-board-contract-appeals" Type="http://schemas.openxmlformats.org/officeDocument/2006/relationships/hyperlink" Id="rId4"/>
    <Relationship TargetMode="External" Target="https://www.acquisition.gov/dfars/part-224-%E2%80%93-protection-privacy-and-freedom-information"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