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**ID__SOFARS_5637.104__ID**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5637.104</w:t>
      </w:r>
      <w:r>
        <w:rPr>
          <w:rFonts w:ascii="Times New Roman" w:hAnsi="Times New Roman"/>
          <w:color w:val="000000"/>
          <w:sz w:val="31"/>
        </w:rPr>
        <w:t xml:space="preserve"> Personal Service Contracts.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(b)(1) If a request for approval of a personal service contract is submitted in accordance with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DFARS 237.104(b)(</w:t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i</w:t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, the following additional information shall be furnished: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requiring activity's initial request signed by the Requiring Activity Official (RAO);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A determination and findings (D&amp;F);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 A review sheet coordinated in accordance with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Attachment 5601-1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;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 Documentation of Contracting Officer coordination; and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(e) A narrative requesting the approval authority signs the required D&amp;F.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://farsite.hill.af.mil/reghtml/regs/far2afmcfars/fardfars/dfars/dfars237.htm" Type="http://schemas.openxmlformats.org/officeDocument/2006/relationships/hyperlink" Id="rId4"/>
    <Relationship TargetMode="External" Target="https://sof.atl.socom.mil/sites/K/SOFARS_DCG/SOFARS/Attachment_5601-1.docx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