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**ID__SOFARS_5637.59090__ID**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5637.590-90</w:t>
      </w:r>
      <w:r>
        <w:rPr>
          <w:rFonts w:ascii="Times New Roman" w:hAnsi="Times New Roman"/>
          <w:i w:val="false"/>
          <w:color w:val="000000"/>
          <w:sz w:val="24"/>
        </w:rPr>
        <w:t xml:space="preserve"> Contractor Manpower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Title 10, U.S.C., Sections 235 and 2330a establish the requirement to report on manpower functions and costs under services contracts. Contractors were previously required to report on manpower to eCMRA; however, beginning with the FY20 reporting period (FY21 Q1) reporting will be done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4.1705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provides specifics on the data to be reported and applicable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5637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am.gov/SAM/" Type="http://schemas.openxmlformats.org/officeDocument/2006/relationships/hyperlink" Id="rId4"/>
    <Relationship TargetMode="External" Target="https://www.acquisition.gov/far/part-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