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**ID__SOFARS_5639.10590__ID**</w:t>
      </w:r>
    </w:p>
    <w:p>
      <w:pPr>
        <w:pStyle w:val="Heading4"/>
        <w:spacing w:after="269"/>
        <w:ind w:left="120"/>
        <w:jc w:val="left"/>
      </w:pPr>
      <w:r>
        <w:rPr>
          <w:rFonts w:ascii="Times New Roman" w:hAnsi="Times New Roman"/>
          <w:i w:val="false"/>
          <w:color w:val="000000"/>
          <w:sz w:val="24"/>
        </w:rPr>
        <w:t>5639.105-90</w:t>
      </w:r>
      <w:r>
        <w:rPr>
          <w:rFonts w:ascii="Times New Roman" w:hAnsi="Times New Roman"/>
          <w:i w:val="false"/>
          <w:color w:val="000000"/>
          <w:sz w:val="24"/>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