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**ID__SOFARS_5642.202__ID**</w:t>
      </w:r>
    </w:p>
    <w:p>
      <w:pPr>
        <w:pStyle w:val="Heading3"/>
        <w:spacing w:after="199"/>
        <w:ind w:left="120"/>
        <w:jc w:val="left"/>
      </w:pPr>
      <w:r>
        <w:rPr>
          <w:rFonts w:ascii="Times New Roman" w:hAnsi="Times New Roman"/>
          <w:color w:val="000000"/>
          <w:sz w:val="31"/>
        </w:rPr>
        <w:t>5642.202</w:t>
      </w:r>
      <w:r>
        <w:rPr>
          <w:rFonts w:ascii="Times New Roman" w:hAnsi="Times New Roman"/>
          <w:color w:val="000000"/>
          <w:sz w:val="31"/>
        </w:rPr>
        <w:t xml:space="preserve"> Assignment of Contract Administration.</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USSOCOM Directorate of Procurement policy is to transfer all contract administrative responsibility to the servicing DCMA on all contracts over $350,000 not purchased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except where required by statute or excluded from DCMA responsibility. Exception may be granted by:</w:t>
      </w:r>
    </w:p>
    <w:p>
      <w:pPr>
        <w:pBdr>
          <w:top w:space="5"/>
          <w:left w:space="5"/>
          <w:bottom w:space="5"/>
          <w:right w:space="5"/>
        </w:pBdr>
        <w:spacing w:after="0"/>
        <w:ind w:left="585"/>
        <w:jc w:val="left"/>
      </w:pPr>
      <w:r>
        <w:rPr>
          <w:rFonts w:ascii="Times New Roman" w:hAnsi="Times New Roman"/>
          <w:b w:val="false"/>
          <w:i w:val="false"/>
          <w:color w:val="000000"/>
          <w:sz w:val="22"/>
        </w:rPr>
        <w:t>(1) Contracting Officer determination to be in the best interest of the organization to retain ACO responsibilities at the local office.</w:t>
      </w:r>
    </w:p>
    <w:p>
      <w:pPr>
        <w:pBdr>
          <w:top w:space="5"/>
          <w:left w:space="5"/>
          <w:bottom w:space="5"/>
          <w:right w:space="5"/>
        </w:pBdr>
        <w:spacing w:after="0"/>
        <w:ind w:left="585"/>
        <w:jc w:val="left"/>
      </w:pPr>
      <w:r>
        <w:rPr>
          <w:rFonts w:ascii="Times New Roman" w:hAnsi="Times New Roman"/>
          <w:b w:val="false"/>
          <w:i w:val="false"/>
          <w:color w:val="000000"/>
          <w:sz w:val="22"/>
        </w:rPr>
        <w:t>(2) Determination that it is most effective to transfer only partial responsibility to the DCMA.</w:t>
      </w:r>
    </w:p>
    <w:p>
      <w:pPr>
        <w:pBdr>
          <w:top w:space="5"/>
          <w:left w:space="5"/>
          <w:bottom w:space="5"/>
          <w:right w:space="5"/>
        </w:pBdr>
        <w:spacing w:after="0"/>
        <w:ind w:left="225"/>
        <w:jc w:val="left"/>
      </w:pPr>
      <w:r>
        <w:rPr>
          <w:rFonts w:ascii="Times New Roman" w:hAnsi="Times New Roman"/>
          <w:b w:val="false"/>
          <w:i w:val="false"/>
          <w:color w:val="000000"/>
          <w:sz w:val="22"/>
        </w:rPr>
        <w:t>The decision should be based on providing the best service to the customer and the capabilities of the contracting office. Both determinations should be made in writing and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transmittal of the contract shall be accomplished in a manner that will provide documentation of confirmation of receipt by the DCMA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2017)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12-acquisition-commercial-items"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