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**ID__SOFARS_5642.490__ID**</w:t>
      </w:r>
    </w:p>
    <w:p>
      <w:pPr>
        <w:pStyle w:val="Heading3"/>
        <w:spacing w:after="199"/>
        <w:ind w:left="120"/>
        <w:jc w:val="left"/>
      </w:pPr>
      <w:r>
        <w:rPr>
          <w:rFonts w:ascii="Times New Roman" w:hAnsi="Times New Roman"/>
          <w:color w:val="000000"/>
          <w:sz w:val="31"/>
        </w:rPr>
        <w:t>5642.490</w:t>
      </w:r>
      <w:r>
        <w:rPr>
          <w:rFonts w:ascii="Times New Roman" w:hAnsi="Times New Roman"/>
          <w:color w:val="000000"/>
          <w:sz w:val="31"/>
        </w:rPr>
        <w:t xml:space="preserve"> Contract Clauses.</w:t>
      </w:r>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5652.242-9002</w:t>
        </w:r>
      </w:hyperlink>
      <w:r>
        <w:rPr>
          <w:rFonts w:ascii="Times New Roman" w:hAnsi="Times New Roman"/>
          <w:b w:val="false"/>
          <w:i w:val="false"/>
          <w:color w:val="000000"/>
          <w:sz w:val="22"/>
        </w:rPr>
        <w:t>, Accounting for Common Access Cards (CACs) for Contractor Personnel Departing HQ USSOCOM, in solicitations and contracts and or task orders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52.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