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**ID__SOFARS_5643.105__ID**</w:t>
      </w:r>
    </w:p>
    <w:p>
      <w:pPr>
        <w:pStyle w:val="Heading3"/>
        <w:spacing w:after="199"/>
        <w:ind w:left="120"/>
        <w:jc w:val="left"/>
      </w:pPr>
      <w:r>
        <w:rPr>
          <w:rFonts w:ascii="Times New Roman" w:hAnsi="Times New Roman"/>
          <w:color w:val="000000"/>
          <w:sz w:val="31"/>
        </w:rPr>
        <w:t>5643.105</w:t>
      </w:r>
      <w:r>
        <w:rPr>
          <w:rFonts w:ascii="Times New Roman" w:hAnsi="Times New Roman"/>
          <w:color w:val="000000"/>
          <w:sz w:val="31"/>
        </w:rPr>
        <w:t xml:space="preserve"> Availability of Funds</w:t>
      </w:r>
    </w:p>
    <w:p>
      <w:pPr>
        <w:pBdr>
          <w:top w:space="5"/>
          <w:left w:space="5"/>
          <w:bottom w:space="5"/>
          <w:right w:space="5"/>
        </w:pBdr>
        <w:spacing w:after="0"/>
        <w:ind w:left="225"/>
        <w:jc w:val="left"/>
      </w:pPr>
      <w:r>
        <w:rPr>
          <w:rFonts w:ascii="Times New Roman" w:hAnsi="Times New Roman"/>
          <w:b w:val="false"/>
          <w:i/>
          <w:color w:val="000000"/>
          <w:sz w:val="22"/>
        </w:rPr>
        <w:t>(Revised October 2012)</w:t>
      </w:r>
    </w:p>
    <w:p>
      <w:pPr>
        <w:pBdr>
          <w:top w:space="5"/>
          <w:left w:space="5"/>
          <w:bottom w:space="5"/>
          <w:right w:space="5"/>
        </w:pBdr>
        <w:spacing w:after="0"/>
        <w:ind w:left="225"/>
        <w:jc w:val="left"/>
      </w:pPr>
      <w:r>
        <w:rPr>
          <w:rFonts w:ascii="Times New Roman" w:hAnsi="Times New Roman"/>
          <w:b w:val="false"/>
          <w:i w:val="false"/>
          <w:color w:val="000000"/>
          <w:sz w:val="22"/>
        </w:rPr>
        <w:t>(c)</w:t>
      </w:r>
    </w:p>
    <w:p>
      <w:pPr>
        <w:pBdr>
          <w:top w:space="5"/>
          <w:left w:space="5"/>
          <w:bottom w:space="5"/>
          <w:right w:space="5"/>
        </w:pBdr>
        <w:spacing w:after="0"/>
        <w:ind w:left="585"/>
        <w:jc w:val="left"/>
      </w:pPr>
      <w:r>
        <w:rPr>
          <w:rFonts w:ascii="Times New Roman" w:hAnsi="Times New Roman"/>
          <w:b w:val="false"/>
          <w:i w:val="false"/>
          <w:color w:val="000000"/>
          <w:sz w:val="22"/>
        </w:rPr>
        <w:t>(1) Prior to issuing a modification that affects contract funding after the contract is physically complete, for which the appropriations may be either expired, cancelled, or closed, contracting officers must coordinate the action with the servicing Comptroller Office to ensure fund availability and prevent improper or illegal adjustments to cancelled appropriations. The contract file must contain documentation of the coordination efforts.</w:t>
      </w:r>
    </w:p>
    <w:p>
      <w:pPr>
        <w:pBdr>
          <w:top w:space="5"/>
          <w:left w:space="5"/>
          <w:bottom w:space="5"/>
          <w:right w:space="5"/>
        </w:pBdr>
        <w:spacing w:after="0"/>
        <w:ind w:left="585"/>
        <w:jc w:val="left"/>
      </w:pPr>
      <w:r>
        <w:rPr>
          <w:rFonts w:ascii="Times New Roman" w:hAnsi="Times New Roman"/>
          <w:b w:val="false"/>
          <w:i w:val="false"/>
          <w:color w:val="000000"/>
          <w:sz w:val="22"/>
        </w:rPr>
        <w:t>(2) Contracting officers will coordinate all modifications to contracts with expired, cancelled, or closed appropriation with the serving legal office prior to execution.</w:t>
      </w:r>
    </w:p>
    <w:p>
      <w:pPr>
        <w:pBdr>
          <w:top w:space="5"/>
          <w:left w:space="5"/>
          <w:bottom w:space="5"/>
          <w:right w:space="5"/>
        </w:pBdr>
        <w:spacing w:after="0"/>
        <w:ind w:left="225"/>
        <w:jc w:val="left"/>
      </w:pPr>
      <w:r>
        <w:rPr>
          <w:rFonts w:ascii="Times New Roman" w:hAnsi="Times New Roman"/>
          <w:b w:val="false"/>
          <w:i w:val="false"/>
          <w:color w:val="000000"/>
          <w:sz w:val="22"/>
        </w:rPr>
        <w:t>(d) Modifications must not be executed for the purpose of using or redistributing unspent balances of expired, closed, or cancelled appropriations without prior coordination with the serving legal office.</w:t>
      </w:r>
    </w:p>
    <w:p>
      <w:pPr>
        <w:pBdr>
          <w:top w:space="5"/>
          <w:left w:space="5"/>
          <w:bottom w:space="5"/>
          <w:right w:space="5"/>
        </w:pBdr>
        <w:spacing w:after="0"/>
        <w:ind w:left="225"/>
        <w:jc w:val="left"/>
      </w:pPr>
    </w:p>
    <w:p>
      <w:pPr>
        <w:pBdr>
          <w:top w:space="5"/>
          <w:left w:space="5"/>
          <w:bottom w:space="5"/>
          <w:right w:space="5"/>
        </w:pBdr>
        <w:spacing w:after="0"/>
        <w:ind w:left="225"/>
        <w:jc w:val="left"/>
      </w:pPr>
      <w:r>
        <w:rPr>
          <w:rFonts w:ascii="Times New Roman" w:hAnsi="Times New Roman"/>
          <w:b w:val="false"/>
          <w:i w:val="false"/>
          <w:color w:val="000000"/>
          <w:sz w:val="22"/>
        </w:rPr>
        <w:t>HQ, United States Special Operations Command</w:t>
      </w:r>
    </w:p>
    <w:p>
      <w:pPr>
        <w:pBdr>
          <w:top w:space="5"/>
          <w:left w:space="5"/>
          <w:bottom w:space="5"/>
          <w:right w:space="5"/>
        </w:pBdr>
        <w:spacing w:after="0"/>
        <w:ind w:left="225"/>
        <w:jc w:val="left"/>
      </w:pPr>
      <w:r>
        <w:rPr>
          <w:rFonts w:ascii="Times New Roman" w:hAnsi="Times New Roman"/>
          <w:b w:val="false"/>
          <w:i w:val="false"/>
          <w:color w:val="000000"/>
          <w:sz w:val="22"/>
        </w:rPr>
        <w:t>Special Operations Forces Acquisition, Technology, and Logistics (SOF AT&amp;L)</w:t>
      </w:r>
    </w:p>
    <w:p>
      <w:pPr>
        <w:pBdr>
          <w:top w:space="5"/>
          <w:left w:space="5"/>
          <w:bottom w:space="5"/>
          <w:right w:space="5"/>
        </w:pBdr>
        <w:spacing w:after="0"/>
        <w:ind w:left="225"/>
        <w:jc w:val="left"/>
      </w:pPr>
      <w:r>
        <w:rPr>
          <w:rFonts w:ascii="Times New Roman" w:hAnsi="Times New Roman"/>
          <w:b w:val="false"/>
          <w:i w:val="false"/>
          <w:color w:val="000000"/>
          <w:sz w:val="22"/>
        </w:rPr>
        <w:t>SOFARS 5643</w:t>
      </w:r>
    </w:p>
    <w:p>
      <w:pPr>
        <w:pBdr>
          <w:top w:space="5"/>
          <w:left w:space="5"/>
          <w:bottom w:space="5"/>
          <w:right w:space="5"/>
        </w:pBdr>
        <w:spacing w:after="0"/>
        <w:ind w:left="225"/>
        <w:jc w:val="left"/>
      </w:pPr>
      <w:r>
        <w:rPr>
          <w:rFonts w:ascii="Times New Roman" w:hAnsi="Times New Roman"/>
          <w:b w:val="false"/>
          <w:i w:val="false"/>
          <w:color w:val="000000"/>
          <w:sz w:val="22"/>
        </w:rPr>
        <w:t>February 2007</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