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**ID__SOFARS_5649.607__ID**</w:t>
      </w:r>
    </w:p>
    <w:p>
      <w:pPr>
        <w:pStyle w:val="Heading3"/>
        <w:spacing w:after="199"/>
        <w:ind w:left="120"/>
        <w:jc w:val="left"/>
      </w:pPr>
      <w:r>
        <w:rPr>
          <w:rFonts w:ascii="Times New Roman" w:hAnsi="Times New Roman"/>
          <w:color w:val="000000"/>
          <w:sz w:val="31"/>
        </w:rPr>
        <w:t>5649.607</w:t>
      </w:r>
      <w:r>
        <w:rPr>
          <w:rFonts w:ascii="Times New Roman" w:hAnsi="Times New Roman"/>
          <w:color w:val="000000"/>
          <w:sz w:val="31"/>
        </w:rPr>
        <w:t xml:space="preserve"> Delinquency Notices.</w:t>
      </w:r>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