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**ID__SOFARS_5652.2099003__ID**</w:t>
      </w:r>
    </w:p>
    <w:p>
      <w:pPr>
        <w:pStyle w:val="Heading2"/>
        <w:spacing w:after="180"/>
        <w:ind w:left="120"/>
        <w:jc w:val="left"/>
      </w:pPr>
      <w:r>
        <w:rPr>
          <w:rFonts w:ascii="Times New Roman" w:hAnsi="Times New Roman"/>
          <w:color w:val="000000"/>
          <w:sz w:val="36"/>
        </w:rPr>
        <w:t>5652.209-9003</w:t>
      </w:r>
      <w:r>
        <w:rPr>
          <w:rFonts w:ascii="Times New Roman" w:hAnsi="Times New Roman"/>
          <w:color w:val="000000"/>
          <w:sz w:val="36"/>
        </w:rPr>
        <w:t xml:space="preserve"> Use of Contractor Support/Advisory Personnel (2015) Section H</w:t>
      </w:r>
    </w:p>
    <w:p>
      <w:pPr>
        <w:pBdr>
          <w:top w:space="5"/>
          <w:left w:space="5"/>
          <w:bottom w:space="5"/>
          <w:right w:space="5"/>
        </w:pBdr>
        <w:spacing w:after="0"/>
        <w:ind w:left="225"/>
        <w:jc w:val="left"/>
      </w:pPr>
      <w:r>
        <w:rPr>
          <w:rFonts w:ascii="Times New Roman" w:hAnsi="Times New Roman"/>
          <w:b w:val="false"/>
          <w:i/>
          <w:color w:val="000000"/>
          <w:sz w:val="22"/>
        </w:rPr>
        <w:t>(Revised August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5609.507-2</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The contractor’s attention is directed to the fact that USSOCOM contracts for various IT, business, 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obtained during contract administration to Government Support Contractors who require access and have signed Non-Disclosure and Rules of Conduct/Conflict of Interest Statements.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09.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