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**ID__SOFARS_5652.2169003__ID**</w:t>
      </w:r>
    </w:p>
    <w:p>
      <w:pPr>
        <w:pStyle w:val="Heading2"/>
        <w:spacing w:after="180"/>
        <w:ind w:left="120"/>
        <w:jc w:val="left"/>
      </w:pPr>
      <w:r>
        <w:rPr>
          <w:rFonts w:ascii="Times New Roman" w:hAnsi="Times New Roman"/>
          <w:color w:val="000000"/>
          <w:sz w:val="36"/>
        </w:rPr>
        <w:t>5652.216-9003</w:t>
      </w:r>
      <w:r>
        <w:rPr>
          <w:rFonts w:ascii="Times New Roman" w:hAnsi="Times New Roman"/>
          <w:color w:val="000000"/>
          <w:sz w:val="36"/>
        </w:rPr>
        <w:t xml:space="preserve"> Procedures for Issuing Task/Delivery Orders under Multiple Award, Indefinite Delivery–Indefinite Quantity Contracts (2020) Section H</w:t>
      </w:r>
    </w:p>
    <w:p>
      <w:pPr>
        <w:pBdr>
          <w:top w:space="5"/>
          <w:left w:space="5"/>
          <w:bottom w:space="5"/>
          <w:right w:space="5"/>
        </w:pBdr>
        <w:spacing w:after="0"/>
        <w:ind w:left="225"/>
        <w:jc w:val="left"/>
      </w:pPr>
      <w:r>
        <w:rPr>
          <w:rFonts w:ascii="Times New Roman" w:hAnsi="Times New Roman"/>
          <w:b w:val="false"/>
          <w:i/>
          <w:color w:val="000000"/>
          <w:sz w:val="22"/>
        </w:rPr>
        <w:t>(Revised June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All multiple award contractors shall be considered for each order over $3,500, unless the Contracting Officer determines that:</w:t>
      </w:r>
    </w:p>
    <w:p>
      <w:pPr>
        <w:pBdr>
          <w:top w:space="5"/>
          <w:left w:space="5"/>
          <w:bottom w:space="5"/>
          <w:right w:space="5"/>
        </w:pBdr>
        <w:spacing w:after="0"/>
        <w:ind w:left="585"/>
        <w:jc w:val="left"/>
      </w:pPr>
      <w:r>
        <w:rPr>
          <w:rFonts w:ascii="Times New Roman" w:hAnsi="Times New Roman"/>
          <w:b w:val="false"/>
          <w:i w:val="false"/>
          <w:color w:val="000000"/>
          <w:sz w:val="22"/>
        </w:rPr>
        <w:t>(1) The agency need for such supplies or services is of such urgency that providing such opportunity would result in unacceptable delays;</w:t>
      </w:r>
    </w:p>
    <w:p>
      <w:pPr>
        <w:pBdr>
          <w:top w:space="5"/>
          <w:left w:space="5"/>
          <w:bottom w:space="5"/>
          <w:right w:space="5"/>
        </w:pBdr>
        <w:spacing w:after="0"/>
        <w:ind w:left="585"/>
        <w:jc w:val="left"/>
      </w:pPr>
      <w:r>
        <w:rPr>
          <w:rFonts w:ascii="Times New Roman" w:hAnsi="Times New Roman"/>
          <w:b w:val="false"/>
          <w:i w:val="false"/>
          <w:color w:val="000000"/>
          <w:sz w:val="22"/>
        </w:rPr>
        <w:t>(2) Only one such contractor is capable of providing such supplies or services required at the level of quality required because the supplies or services ordered are unique or highly specialized;</w:t>
      </w:r>
    </w:p>
    <w:p>
      <w:pPr>
        <w:pBdr>
          <w:top w:space="5"/>
          <w:left w:space="5"/>
          <w:bottom w:space="5"/>
          <w:right w:space="5"/>
        </w:pBdr>
        <w:spacing w:after="0"/>
        <w:ind w:left="585"/>
        <w:jc w:val="left"/>
      </w:pPr>
      <w:r>
        <w:rPr>
          <w:rFonts w:ascii="Times New Roman" w:hAnsi="Times New Roman"/>
          <w:b w:val="false"/>
          <w:i w:val="false"/>
          <w:color w:val="000000"/>
          <w:sz w:val="22"/>
        </w:rPr>
        <w:t>(3) The order should be issued on a sole source basis in the interest of economy and efficiency as a logical follow-on to an order already issued under the contract.</w:t>
      </w:r>
    </w:p>
    <w:p>
      <w:pPr>
        <w:pBdr>
          <w:top w:space="5"/>
          <w:left w:space="5"/>
          <w:bottom w:space="5"/>
          <w:right w:space="5"/>
        </w:pBdr>
        <w:spacing w:after="0"/>
        <w:ind w:left="585"/>
        <w:jc w:val="left"/>
      </w:pPr>
      <w:r>
        <w:rPr>
          <w:rFonts w:ascii="Times New Roman" w:hAnsi="Times New Roman"/>
          <w:b w:val="false"/>
          <w:i w:val="false"/>
          <w:color w:val="000000"/>
          <w:sz w:val="22"/>
        </w:rPr>
        <w:t>(4) It is necessary to place an order to satisfy a minimum amount guarantee.</w:t>
      </w:r>
    </w:p>
    <w:p>
      <w:pPr>
        <w:pBdr>
          <w:top w:space="5"/>
          <w:left w:space="5"/>
          <w:bottom w:space="5"/>
          <w:right w:space="5"/>
        </w:pBdr>
        <w:spacing w:after="0"/>
        <w:ind w:left="225"/>
        <w:jc w:val="left"/>
      </w:pPr>
      <w:r>
        <w:rPr>
          <w:rFonts w:ascii="Times New Roman" w:hAnsi="Times New Roman"/>
          <w:b w:val="false"/>
          <w:i w:val="false"/>
          <w:color w:val="000000"/>
          <w:sz w:val="22"/>
        </w:rPr>
        <w:t>(b) Unless the exceptions in paragraphs (a) above apply, the following procedures will be utilized in providing contract awardees with a fair opportunity to be considered for each order:</w:t>
      </w:r>
    </w:p>
    <w:p>
      <w:pPr>
        <w:pBdr>
          <w:top w:space="5"/>
          <w:left w:space="5"/>
          <w:bottom w:space="5"/>
          <w:right w:space="5"/>
        </w:pBdr>
        <w:spacing w:after="0"/>
        <w:ind w:left="225"/>
        <w:jc w:val="left"/>
      </w:pPr>
      <w:r>
        <w:rPr>
          <w:rFonts w:ascii="Times New Roman" w:hAnsi="Times New Roman"/>
          <w:b w:val="false"/>
          <w:i/>
          <w:color w:val="000000"/>
          <w:sz w:val="22"/>
        </w:rPr>
        <w:t>(For task order service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technical and/or managerial approach, if necessary, and cost/price estimate in response to a Government work statement.</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color w:val="000000"/>
          <w:sz w:val="22"/>
        </w:rPr>
        <w:t>(For supplies/equipment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proposed delivery schedule and cost/price estimate in response to a Government request for quotations.</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 Electronic submission is encouraged.</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issue the Delivery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val="false"/>
          <w:color w:val="000000"/>
          <w:sz w:val="22"/>
        </w:rP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w:pPr>
        <w:pBdr>
          <w:top w:space="5"/>
          <w:left w:space="5"/>
          <w:bottom w:space="5"/>
          <w:right w:space="5"/>
        </w:pBdr>
        <w:spacing w:after="0"/>
        <w:ind w:left="225"/>
        <w:jc w:val="left"/>
      </w:pPr>
      <w:r>
        <w:rPr>
          <w:rFonts w:ascii="Times New Roman" w:hAnsi="Times New Roman"/>
          <w:b w:val="false"/>
          <w:i w:val="false"/>
          <w:color w:val="000000"/>
          <w:sz w:val="22"/>
        </w:rP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6.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