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**ID__SOFARS_5652.2169005__ID**</w:t>
      </w:r>
    </w:p>
    <w:p>
      <w:pPr>
        <w:pStyle w:val="Heading2"/>
        <w:spacing w:after="180"/>
        <w:ind w:left="120"/>
        <w:jc w:val="left"/>
      </w:pPr>
      <w:r>
        <w:rPr>
          <w:rFonts w:ascii="Times New Roman" w:hAnsi="Times New Roman"/>
          <w:color w:val="000000"/>
          <w:sz w:val="36"/>
        </w:rPr>
        <w:t>5652.216-9005</w:t>
      </w:r>
      <w:r>
        <w:rPr>
          <w:rFonts w:ascii="Times New Roman" w:hAnsi="Times New Roman"/>
          <w:color w:val="000000"/>
          <w:sz w:val="36"/>
        </w:rPr>
        <w:t xml:space="preserve"> , Government Down Time for Various Reasons (2005) Section I</w:t>
      </w:r>
    </w:p>
    <w:p>
      <w:pPr>
        <w:pBdr>
          <w:top w:space="5"/>
          <w:left w:space="5"/>
          <w:bottom w:space="5"/>
          <w:right w:space="5"/>
        </w:pBdr>
        <w:spacing w:after="0"/>
        <w:ind w:left="225"/>
        <w:jc w:val="left"/>
      </w:pPr>
      <w:r>
        <w:rPr>
          <w:rFonts w:ascii="Times New Roman" w:hAnsi="Times New Roman"/>
          <w:b w:val="false"/>
          <w:i w:val="false"/>
          <w:color w:val="000000"/>
          <w:sz w:val="22"/>
        </w:rPr>
        <w:t xml:space="preserve">In accordance with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5616.307(l)</w:t>
        </w:r>
      </w:hyperlink>
      <w:r>
        <w:rPr>
          <w:rFonts w:ascii="Times New Roman" w:hAnsi="Times New Roman"/>
          <w:b w:val="false"/>
          <w:i w:val="false"/>
          <w:color w:val="000000"/>
          <w:sz w:val="22"/>
        </w:rPr>
        <w:t xml:space="preserve">, and as prescribed in </w:t>
      </w:r>
      <w:hyperlink r:id="rI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5616.601-90</w:t>
        </w:r>
      </w:hyperlink>
      <w:r>
        <w:rPr>
          <w:rFonts w:ascii="Times New Roman" w:hAnsi="Times New Roman"/>
          <w:b w:val="false"/>
          <w:i w:val="false"/>
          <w:color w:val="000000"/>
          <w:sz w:val="22"/>
        </w:rPr>
        <w:t>, insert the following clause,</w:t>
      </w:r>
    </w:p>
    <w:p>
      <w:pPr>
        <w:pBdr>
          <w:top w:space="5"/>
          <w:left w:space="5"/>
          <w:bottom w:space="5"/>
          <w:right w:space="5"/>
        </w:pBdr>
        <w:spacing w:after="0"/>
        <w:ind w:left="225"/>
        <w:jc w:val="left"/>
      </w:pPr>
      <w:r>
        <w:rPr>
          <w:rFonts w:ascii="Times New Roman" w:hAnsi="Times New Roman"/>
          <w:b w:val="false"/>
          <w:i w:val="false"/>
          <w:color w:val="000000"/>
          <w:sz w:val="22"/>
        </w:rPr>
        <w:t>From time to time Government installations may be closed in response to an unforeseen emergency or similar occurrence, or by order of the President, Secretary of Defense, or installation commander. Designated emergencies include, but are not limited to, adverse weather such as snow or flood, an act of God such as a tornado or earthquake, acts of war or terrorism, computer failures, or a base disaster such as a natural gas leak or fire.</w:t>
      </w:r>
    </w:p>
    <w:p>
      <w:pPr>
        <w:pBdr>
          <w:top w:space="5"/>
          <w:left w:space="5"/>
          <w:bottom w:space="5"/>
          <w:right w:space="5"/>
        </w:pBdr>
        <w:spacing w:after="0"/>
        <w:ind w:left="585"/>
        <w:jc w:val="left"/>
      </w:pPr>
      <w:r>
        <w:rPr>
          <w:rFonts w:ascii="Times New Roman" w:hAnsi="Times New Roman"/>
          <w:b w:val="false"/>
          <w:i w:val="false"/>
          <w:color w:val="000000"/>
          <w:sz w:val="22"/>
        </w:rPr>
        <w:t>(1) Under such designated emergencies or other ordered base closures, contractor personnel will not be allowed on the Government installation unless specifically approved by the Contracting Officer in accordance with installation policies and procedures. If an emergency requiring installation closure occurs while contractor personnel are on the installation, contractor personnel shall promptly secure all government furnished property appropriately and evacuate in an expedient but safe manner unless otherwise directed by the Contracting Officer.</w:t>
      </w:r>
    </w:p>
    <w:p>
      <w:pPr>
        <w:pBdr>
          <w:top w:space="5"/>
          <w:left w:space="5"/>
          <w:bottom w:space="5"/>
          <w:right w:space="5"/>
        </w:pBdr>
        <w:spacing w:after="0"/>
        <w:ind w:left="585"/>
        <w:jc w:val="left"/>
      </w:pPr>
      <w:r>
        <w:rPr>
          <w:rFonts w:ascii="Times New Roman" w:hAnsi="Times New Roman"/>
          <w:b w:val="false"/>
          <w:i w:val="false"/>
          <w:color w:val="000000"/>
          <w:sz w:val="22"/>
        </w:rPr>
        <w:t>(2) If the installation closure causes a delay in the work required by the contract, the Government may:</w:t>
      </w:r>
    </w:p>
    <w:p>
      <w:pPr>
        <w:pBdr>
          <w:top w:space="5"/>
          <w:left w:space="5"/>
          <w:bottom w:space="5"/>
          <w:right w:space="5"/>
        </w:pBdr>
        <w:spacing w:after="0"/>
        <w:ind w:left="945"/>
        <w:jc w:val="left"/>
      </w:pPr>
      <w:r>
        <w:rPr>
          <w:rFonts w:ascii="Times New Roman" w:hAnsi="Times New Roman"/>
          <w:b w:val="false"/>
          <w:i w:val="false"/>
          <w:color w:val="000000"/>
          <w:sz w:val="22"/>
        </w:rPr>
        <w:t>(i) grant a time extension in each task order delayed by the closure equal to the time of the closure, subject to the availability of funds.</w:t>
      </w:r>
    </w:p>
    <w:p>
      <w:pPr>
        <w:pBdr>
          <w:top w:space="5"/>
          <w:left w:space="5"/>
          <w:bottom w:space="5"/>
          <w:right w:space="5"/>
        </w:pBdr>
        <w:spacing w:after="0"/>
        <w:ind w:left="945"/>
        <w:jc w:val="left"/>
      </w:pPr>
      <w:r>
        <w:rPr>
          <w:rFonts w:ascii="Times New Roman" w:hAnsi="Times New Roman"/>
          <w:b w:val="false"/>
          <w:i w:val="false"/>
          <w:color w:val="000000"/>
          <w:sz w:val="22"/>
        </w:rPr>
        <w:t>(ii) terminate the work or a portion of the work.</w:t>
      </w:r>
    </w:p>
    <w:p>
      <w:pPr>
        <w:pBdr>
          <w:top w:space="5"/>
          <w:left w:space="5"/>
          <w:bottom w:space="5"/>
          <w:right w:space="5"/>
        </w:pBdr>
        <w:spacing w:after="0"/>
        <w:ind w:left="945"/>
        <w:jc w:val="left"/>
      </w:pPr>
      <w:r>
        <w:rPr>
          <w:rFonts w:ascii="Times New Roman" w:hAnsi="Times New Roman"/>
          <w:b w:val="false"/>
          <w:i w:val="false"/>
          <w:color w:val="000000"/>
          <w:sz w:val="22"/>
        </w:rPr>
        <w:t>(iii) reschedule the work on any day satisfactory to both parties.</w:t>
      </w:r>
    </w:p>
    <w:p>
      <w:pPr>
        <w:pBdr>
          <w:top w:space="5"/>
          <w:left w:space="5"/>
          <w:bottom w:space="5"/>
          <w:right w:space="5"/>
        </w:pBdr>
        <w:spacing w:after="0"/>
        <w:ind w:left="945"/>
        <w:jc w:val="left"/>
      </w:pPr>
      <w:r>
        <w:rPr>
          <w:rFonts w:ascii="Times New Roman" w:hAnsi="Times New Roman"/>
          <w:b w:val="false"/>
          <w:i w:val="false"/>
          <w:color w:val="000000"/>
          <w:sz w:val="22"/>
        </w:rPr>
        <w:t>(iv) permit the contractor to perform at an off-site location during the period of installation closure if meaningful work can be accomplished. Contractor shall certify to the government by letter within 5 business days of returning to work the nature and scope of the work completed off-site. There shall be no adjustment to the contract labor rates for work performed off the installation.</w:t>
      </w:r>
    </w:p>
    <w:p>
      <w:pPr>
        <w:pBdr>
          <w:top w:space="5"/>
          <w:left w:space="5"/>
          <w:bottom w:space="5"/>
          <w:right w:space="5"/>
        </w:pBdr>
        <w:spacing w:after="0"/>
        <w:ind w:left="945"/>
        <w:jc w:val="left"/>
      </w:pPr>
      <w:r>
        <w:rPr>
          <w:rFonts w:ascii="Times New Roman" w:hAnsi="Times New Roman"/>
          <w:b w:val="false"/>
          <w:i w:val="false"/>
          <w:color w:val="000000"/>
          <w:sz w:val="22"/>
        </w:rPr>
        <w:t>(v) require that the Contractor continue on-site performance during the installation closure period in accordance with installation procedures.</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sof.atl.socom.mil/sites/K/SOFARS_DCG/SOFARS/5616.docx" Type="http://schemas.openxmlformats.org/officeDocument/2006/relationships/hyperlink" Id="rId4"/>
    <Relationship TargetMode="External" Target="https://sof.atl.socom.mil/sites/K/SOFARS_DCG/SOFARS/5616.docx" Type="http://schemas.openxmlformats.org/officeDocument/2006/relationships/hyperlink" Id="rId5"/>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