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**ID__SOFARS_5652.2339000__ID**</w:t>
      </w:r>
    </w:p>
    <w:p>
      <w:pPr>
        <w:pStyle w:val="Heading2"/>
        <w:spacing w:after="180"/>
        <w:ind w:left="120"/>
        <w:jc w:val="left"/>
      </w:pPr>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Id4">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33.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