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**ID__SOFARS_5652.2429002__ID**</w:t>
      </w:r>
    </w:p>
    <w:p>
      <w:pPr>
        <w:pStyle w:val="Heading2"/>
        <w:spacing w:after="180"/>
        <w:ind w:left="120"/>
        <w:jc w:val="left"/>
      </w:pPr>
      <w:r>
        <w:rPr>
          <w:rFonts w:ascii="Times New Roman" w:hAnsi="Times New Roman"/>
          <w:color w:val="000000"/>
          <w:sz w:val="36"/>
        </w:rPr>
        <w:t>5652.242-9002</w:t>
      </w:r>
      <w:r>
        <w:rPr>
          <w:rFonts w:ascii="Times New Roman" w:hAnsi="Times New Roman"/>
          <w:color w:val="000000"/>
          <w:sz w:val="36"/>
        </w:rPr>
        <w:t xml:space="preserve"> Accounting for Common Access Cards (CACs) for Contractor Personnel Departing HQ USSOCOM (2014) Section I</w:t>
      </w:r>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5642-490</w:t>
        </w:r>
      </w:hyperlink>
      <w:r>
        <w:rPr>
          <w:rFonts w:ascii="Times New Roman" w:hAnsi="Times New Roman"/>
          <w:b w:val="false"/>
          <w:i w:val="false"/>
          <w:color w:val="000000"/>
          <w:sz w:val="22"/>
        </w:rPr>
        <w:t xml:space="preserve"> insert a clause substantially the same as the following in solicitations and contracts and or task orders:</w:t>
      </w:r>
    </w:p>
    <w:p>
      <w:pPr>
        <w:pBdr>
          <w:top w:space="5"/>
          <w:left w:space="5"/>
          <w:bottom w:space="5"/>
          <w:right w:space="5"/>
        </w:pBdr>
        <w:spacing w:after="0"/>
        <w:ind w:left="225"/>
        <w:jc w:val="left"/>
      </w:pPr>
      <w:r>
        <w:rPr>
          <w:rFonts w:ascii="Times New Roman" w:hAnsi="Times New Roman"/>
          <w:b w:val="false"/>
          <w:i w:val="false"/>
          <w:color w:val="000000"/>
          <w:sz w:val="22"/>
        </w:rP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include a monthly report listing contractor employees who departed during the previous month and the date their CACs were turned in using the format listed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758"/>
        <w:gridCol w:w="1563"/>
        <w:gridCol w:w="1429"/>
        <w:gridCol w:w="1705"/>
        <w:gridCol w:w="1776"/>
        <w:gridCol w:w="1145"/>
        <w:gridCol w:w="2043"/>
        <w:gridCol w:w="1598"/>
        <w:gridCol w:w="1518"/>
      </w:tblGrid>
      <w:tr>
        <w:trPr>
          <w:trHeight w:val="1875"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 Name</w:t>
            </w: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Number</w:t>
            </w: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Number</w:t>
            </w: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Company Name</w:t>
            </w: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USSCOM Office Symbol</w:t>
            </w: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 Name</w:t>
            </w: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Date</w:t>
            </w: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CAC returned to RAPIDS Site</w:t>
            </w: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Remarks</w:t>
            </w: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5652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42.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