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**ID__SOFARS_Attachment_5601-1.1a__ID**</w:t>
      </w:r>
    </w:p>
    <w:p>
      <w:pPr>
        <w:pStyle w:val="Heading2"/>
        <w:spacing w:after="180"/>
        <w:ind w:left="120"/>
        <w:jc w:val="center"/>
      </w:pPr>
      <w:r>
        <w:rPr>
          <w:rFonts w:ascii="Times New Roman" w:hAnsi="Times New Roman"/>
          <w:color w:val="000000"/>
        </w:rPr>
        <w:t>**ID__rKp1Fg__ID**</w:t>
      </w:r>
      <w:r>
        <w:rPr>
          <w:rFonts w:ascii="Times New Roman" w:hAnsi="Times New Roman"/>
          <w:color w:val="000000"/>
        </w:rPr>
        <w:t xml:space="preserve"> </w:t>
      </w:r>
      <w:r>
        <w:rPr>
          <w:rFonts w:ascii="Times New Roman" w:hAnsi="Times New Roman"/>
          <w:color w:val="000000"/>
        </w:rPr>
        <w:t>Attachment 5601-1.1</w:t>
      </w:r>
      <w:r>
        <w:rPr>
          <w:rFonts w:ascii="Times New Roman" w:hAnsi="Times New Roman"/>
          <w:color w:val="000000"/>
        </w:rPr>
        <w:t>a</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40"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 PACKAGE CONTENTS CHECKLIST*</w:t>
            </w:r>
          </w:p>
        </w:tc>
      </w:tr>
      <w:tr>
        <w:trPr>
          <w:trHeight w:val="31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Acquisition Plans</w:t>
            </w:r>
          </w:p>
          <w:p>
            <w:pPr>
              <w:pBdr>
                <w:top w:space="5"/>
                <w:left w:space="5"/>
                <w:bottom w:space="5"/>
                <w:right w:space="5"/>
              </w:pBdr>
              <w:spacing w:after="0"/>
              <w:ind w:left="240"/>
              <w:jc w:val="left"/>
            </w:pPr>
            <w:r>
              <w:rPr>
                <w:rFonts w:ascii="Times New Roman" w:hAnsi="Times New Roman"/>
                <w:b w:val="false"/>
                <w:i w:val="false"/>
                <w:color w:val="000000"/>
                <w:sz w:val="22"/>
              </w:rPr>
              <w:t>Acquisition planning documents based on complexity and dollar value</w:t>
            </w:r>
          </w:p>
          <w:p>
            <w:pPr>
              <w:pBdr>
                <w:top w:space="5"/>
                <w:left w:space="5"/>
                <w:bottom w:space="5"/>
                <w:right w:space="5"/>
              </w:pBdr>
              <w:spacing w:after="0"/>
              <w:ind w:left="240"/>
              <w:jc w:val="left"/>
            </w:pPr>
            <w:r>
              <w:rPr>
                <w:rFonts w:ascii="Times New Roman" w:hAnsi="Times New Roman"/>
                <w:b w:val="false"/>
                <w:i w:val="false"/>
                <w:color w:val="000000"/>
                <w:sz w:val="22"/>
              </w:rPr>
              <w:t>Market Research Report</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D</w:t>
            </w:r>
            <w:r>
              <w:rPr>
                <w:rFonts w:ascii="Times New Roman" w:hAnsi="Times New Roman"/>
                <w:b/>
                <w:i w:val="false"/>
                <w:color w:val="000000"/>
                <w:sz w:val="22"/>
                <w:u w:val="single"/>
              </w:rPr>
              <w:t>etermination</w:t>
            </w:r>
            <w:r>
              <w:rPr>
                <w:rFonts w:ascii="Times New Roman" w:hAnsi="Times New Roman"/>
                <w:b/>
                <w:i w:val="false"/>
                <w:color w:val="000000"/>
                <w:sz w:val="22"/>
                <w:u w:val="single"/>
              </w:rPr>
              <w:t>&amp;</w:t>
            </w:r>
            <w:r>
              <w:rPr>
                <w:rFonts w:ascii="Times New Roman" w:hAnsi="Times New Roman"/>
                <w:b/>
                <w:i w:val="false"/>
                <w:color w:val="000000"/>
                <w:sz w:val="22"/>
                <w:u w:val="single"/>
              </w:rPr>
              <w:t>F</w:t>
            </w:r>
            <w:r>
              <w:rPr>
                <w:rFonts w:ascii="Times New Roman" w:hAnsi="Times New Roman"/>
                <w:b/>
                <w:i w:val="false"/>
                <w:color w:val="000000"/>
                <w:sz w:val="22"/>
                <w:u w:val="single"/>
              </w:rPr>
              <w:t>indings</w:t>
            </w:r>
            <w:r>
              <w:rPr>
                <w:rFonts w:ascii="Times New Roman" w:hAnsi="Times New Roman"/>
                <w:b/>
                <w:i w:val="false"/>
                <w:color w:val="000000"/>
                <w:sz w:val="22"/>
                <w:u w:val="single"/>
              </w:rPr>
              <w:t>(D&amp;F)</w:t>
            </w:r>
          </w:p>
          <w:p>
            <w:pPr>
              <w:pBdr>
                <w:top w:space="5"/>
                <w:left w:space="5"/>
                <w:bottom w:space="5"/>
                <w:right w:space="5"/>
              </w:pBdr>
              <w:spacing w:after="0"/>
              <w:ind w:left="240"/>
              <w:jc w:val="left"/>
            </w:pPr>
            <w:r>
              <w:rPr>
                <w:rFonts w:ascii="Times New Roman" w:hAnsi="Times New Roman"/>
                <w:b w:val="false"/>
                <w:i w:val="false"/>
                <w:color w:val="000000"/>
                <w:sz w:val="22"/>
              </w:rPr>
              <w:t>D&amp;F</w:t>
            </w:r>
          </w:p>
          <w:p>
            <w:pPr>
              <w:pBdr>
                <w:top w:space="5"/>
                <w:left w:space="5"/>
                <w:bottom w:space="5"/>
                <w:right w:space="5"/>
              </w:pBdr>
              <w:spacing w:after="0"/>
              <w:ind w:left="240"/>
              <w:jc w:val="left"/>
            </w:pPr>
            <w:r>
              <w:rPr>
                <w:rFonts w:ascii="Times New Roman" w:hAnsi="Times New Roman"/>
                <w:b w:val="false"/>
                <w:i w:val="false"/>
                <w:color w:val="000000"/>
                <w:sz w:val="22"/>
              </w:rPr>
              <w:t>Local Legal Review</w:t>
            </w:r>
          </w:p>
          <w:p>
            <w:pPr>
              <w:pBdr>
                <w:top w:space="5"/>
                <w:left w:space="5"/>
                <w:bottom w:space="5"/>
                <w:right w:space="5"/>
              </w:pBdr>
              <w:spacing w:after="0"/>
              <w:ind w:left="240"/>
              <w:jc w:val="left"/>
            </w:pPr>
            <w:r>
              <w:rPr>
                <w:rFonts w:ascii="Times New Roman" w:hAnsi="Times New Roman"/>
                <w:b w:val="false"/>
                <w:i w:val="false"/>
                <w:color w:val="000000"/>
                <w:sz w:val="22"/>
              </w:rPr>
              <w:t>Statement of Work (SOW)/Performance Work Statement (PWS)/Statement of Objectives (SOO)</w:t>
            </w:r>
          </w:p>
          <w:p>
            <w:pPr>
              <w:pBdr>
                <w:top w:space="5"/>
                <w:left w:space="5"/>
                <w:bottom w:space="5"/>
                <w:right w:space="5"/>
              </w:pBdr>
              <w:spacing w:after="0"/>
              <w:ind w:left="240"/>
              <w:jc w:val="left"/>
            </w:pPr>
            <w:r>
              <w:rPr>
                <w:rFonts w:ascii="Times New Roman" w:hAnsi="Times New Roman"/>
                <w:b w:val="false"/>
                <w:i w:val="false"/>
                <w:color w:val="000000"/>
                <w:sz w:val="22"/>
              </w:rPr>
              <w:t>Funding Document(s), as applicable</w:t>
            </w:r>
          </w:p>
          <w:p>
            <w:pPr>
              <w:pBdr>
                <w:top w:space="5"/>
                <w:left w:space="5"/>
                <w:bottom w:space="5"/>
                <w:right w:space="5"/>
              </w:pBdr>
              <w:spacing w:after="0"/>
              <w:ind w:left="240"/>
              <w:jc w:val="left"/>
            </w:pPr>
            <w:r>
              <w:rPr>
                <w:rFonts w:ascii="Times New Roman" w:hAnsi="Times New Roman"/>
                <w:b w:val="false"/>
                <w:i w:val="false"/>
                <w:color w:val="000000"/>
                <w:sz w:val="22"/>
              </w:rPr>
              <w:t>Draft Letter Contract, as applicable</w:t>
            </w:r>
          </w:p>
        </w:tc>
      </w:tr>
      <w:tr>
        <w:trPr>
          <w:trHeight w:val="253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Justification and Approvals (J&amp;A), Brand Name Justifications, Exception to Fair Opportunity (FOE):</w:t>
            </w:r>
          </w:p>
          <w:p>
            <w:pPr>
              <w:pBdr>
                <w:top w:space="5"/>
                <w:left w:space="5"/>
                <w:bottom w:space="5"/>
                <w:right w:space="5"/>
              </w:pBdr>
              <w:spacing w:after="0"/>
              <w:ind w:left="240"/>
              <w:jc w:val="left"/>
            </w:pPr>
            <w:r>
              <w:rPr>
                <w:rFonts w:ascii="Times New Roman" w:hAnsi="Times New Roman"/>
                <w:b w:val="false"/>
                <w:i w:val="false"/>
                <w:color w:val="000000"/>
                <w:sz w:val="22"/>
              </w:rPr>
              <w:t>Justification</w:t>
            </w:r>
          </w:p>
          <w:p>
            <w:pPr>
              <w:pBdr>
                <w:top w:space="5"/>
                <w:left w:space="5"/>
                <w:bottom w:space="5"/>
                <w:right w:space="5"/>
              </w:pBdr>
              <w:spacing w:after="0"/>
              <w:ind w:left="240"/>
              <w:jc w:val="left"/>
            </w:pPr>
            <w:r>
              <w:rPr>
                <w:rFonts w:ascii="Times New Roman" w:hAnsi="Times New Roman"/>
                <w:b w:val="false"/>
                <w:i w:val="false"/>
                <w:color w:val="000000"/>
                <w:sz w:val="22"/>
              </w:rPr>
              <w:t>Acquisition Plan</w:t>
            </w:r>
          </w:p>
          <w:p>
            <w:pPr>
              <w:pBdr>
                <w:top w:space="5"/>
                <w:left w:space="5"/>
                <w:bottom w:space="5"/>
                <w:right w:space="5"/>
              </w:pBdr>
              <w:spacing w:after="0"/>
              <w:ind w:left="240"/>
              <w:jc w:val="left"/>
            </w:pPr>
            <w:r>
              <w:rPr>
                <w:rFonts w:ascii="Times New Roman" w:hAnsi="Times New Roman"/>
                <w:b w:val="false"/>
                <w:i w:val="false"/>
                <w:color w:val="000000"/>
                <w:sz w:val="22"/>
              </w:rPr>
              <w:t>Market Research Report</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Source Selection Plans</w:t>
            </w:r>
          </w:p>
          <w:p>
            <w:pPr>
              <w:pBdr>
                <w:top w:space="5"/>
                <w:left w:space="5"/>
                <w:bottom w:space="5"/>
                <w:right w:space="5"/>
              </w:pBdr>
              <w:spacing w:after="0"/>
              <w:ind w:left="240"/>
              <w:jc w:val="left"/>
            </w:pPr>
            <w:r>
              <w:rPr>
                <w:rFonts w:ascii="Times New Roman" w:hAnsi="Times New Roman"/>
                <w:b w:val="false"/>
                <w:i w:val="false"/>
                <w:color w:val="000000"/>
                <w:sz w:val="22"/>
              </w:rPr>
              <w:t>Source Selection Plan or Evaluation Plan</w:t>
            </w:r>
          </w:p>
          <w:p>
            <w:pPr>
              <w:pBdr>
                <w:top w:space="5"/>
                <w:left w:space="5"/>
                <w:bottom w:space="5"/>
                <w:right w:space="5"/>
              </w:pBdr>
              <w:spacing w:after="0"/>
              <w:ind w:left="240"/>
              <w:jc w:val="left"/>
            </w:pPr>
            <w:r>
              <w:rPr>
                <w:rFonts w:ascii="Times New Roman" w:hAnsi="Times New Roman"/>
                <w:b w:val="false"/>
                <w:i w:val="false"/>
                <w:color w:val="000000"/>
                <w:sz w:val="22"/>
              </w:rPr>
              <w:t>Applicable D&amp;F’s</w:t>
            </w:r>
          </w:p>
        </w:tc>
      </w:tr>
      <w:tr>
        <w:trPr>
          <w:trHeight w:val="520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Requests for Proposals, Invitatio</w:t>
            </w:r>
            <w:r>
              <w:rPr>
                <w:rFonts w:ascii="Times New Roman" w:hAnsi="Times New Roman"/>
                <w:b/>
                <w:i w:val="false"/>
                <w:color w:val="000000"/>
                <w:sz w:val="22"/>
                <w:u w:val="single"/>
              </w:rPr>
              <w:t>ns for Bids, Request for Quotes</w:t>
            </w:r>
          </w:p>
          <w:p>
            <w:pPr>
              <w:pBdr>
                <w:top w:space="5"/>
                <w:left w:space="5"/>
                <w:bottom w:space="5"/>
                <w:right w:space="5"/>
              </w:pBdr>
              <w:spacing w:after="0"/>
              <w:ind w:left="240"/>
              <w:jc w:val="left"/>
            </w:pPr>
            <w:r>
              <w:rPr>
                <w:rFonts w:ascii="Times New Roman" w:hAnsi="Times New Roman"/>
                <w:b w:val="false"/>
                <w:i w:val="false"/>
                <w:color w:val="000000"/>
                <w:sz w:val="22"/>
              </w:rPr>
              <w:t>Solicitation</w:t>
            </w:r>
          </w:p>
          <w:p>
            <w:pPr>
              <w:pBdr>
                <w:top w:space="5"/>
                <w:left w:space="5"/>
                <w:bottom w:space="5"/>
                <w:right w:space="5"/>
              </w:pBdr>
              <w:spacing w:after="0"/>
              <w:ind w:left="240"/>
              <w:jc w:val="left"/>
            </w:pPr>
            <w:r>
              <w:rPr>
                <w:rFonts w:ascii="Times New Roman" w:hAnsi="Times New Roman"/>
                <w:b w:val="false"/>
                <w:i w:val="false"/>
                <w:color w:val="000000"/>
                <w:sz w:val="22"/>
              </w:rPr>
              <w:t>Requirements Package (SOW/PWS/SOO, CDRLs, DD254, etc.)</w:t>
            </w:r>
          </w:p>
          <w:p>
            <w:pPr>
              <w:pBdr>
                <w:top w:space="5"/>
                <w:left w:space="5"/>
                <w:bottom w:space="5"/>
                <w:right w:space="5"/>
              </w:pBdr>
              <w:spacing w:after="0"/>
              <w:ind w:left="240"/>
              <w:jc w:val="left"/>
            </w:pPr>
            <w:r>
              <w:rPr>
                <w:rFonts w:ascii="Times New Roman" w:hAnsi="Times New Roman"/>
                <w:b w:val="false"/>
                <w:i w:val="false"/>
                <w:color w:val="000000"/>
                <w:sz w:val="22"/>
              </w:rPr>
              <w:t>Acquisition Planning Documents or Brief (as applicable)</w:t>
            </w:r>
          </w:p>
          <w:p>
            <w:pPr>
              <w:pBdr>
                <w:top w:space="5"/>
                <w:left w:space="5"/>
                <w:bottom w:space="5"/>
                <w:right w:space="5"/>
              </w:pBdr>
              <w:spacing w:after="0"/>
              <w:ind w:left="240"/>
              <w:jc w:val="left"/>
            </w:pPr>
            <w:r>
              <w:rPr>
                <w:rFonts w:ascii="Times New Roman" w:hAnsi="Times New Roman"/>
                <w:b w:val="false"/>
                <w:i w:val="false"/>
                <w:color w:val="000000"/>
                <w:sz w:val="22"/>
              </w:rPr>
              <w:t>Local Legal Review</w:t>
            </w:r>
          </w:p>
          <w:p>
            <w:pPr>
              <w:pBdr>
                <w:top w:space="5"/>
                <w:left w:space="5"/>
                <w:bottom w:space="5"/>
                <w:right w:space="5"/>
              </w:pBdr>
              <w:spacing w:after="0"/>
              <w:ind w:left="240"/>
              <w:jc w:val="left"/>
            </w:pPr>
            <w:r>
              <w:rPr>
                <w:rFonts w:ascii="Times New Roman" w:hAnsi="Times New Roman"/>
                <w:b/>
                <w:i w:val="false"/>
                <w:color w:val="000000"/>
                <w:sz w:val="22"/>
              </w:rPr>
              <w:t>Competitive –</w:t>
            </w:r>
          </w:p>
          <w:p>
            <w:pPr>
              <w:pBdr>
                <w:top w:space="5"/>
                <w:left w:space="5"/>
                <w:bottom w:space="5"/>
                <w:right w:space="5"/>
              </w:pBdr>
              <w:spacing w:after="0"/>
              <w:ind w:left="240"/>
              <w:jc w:val="left"/>
            </w:pPr>
            <w:r>
              <w:rPr>
                <w:rFonts w:ascii="Times New Roman" w:hAnsi="Times New Roman"/>
                <w:b w:val="false"/>
                <w:i w:val="false"/>
                <w:color w:val="000000"/>
                <w:sz w:val="22"/>
              </w:rPr>
              <w:t>Evaluation Plan or Source Selection Plan</w:t>
            </w:r>
          </w:p>
          <w:p>
            <w:pPr>
              <w:pBdr>
                <w:top w:space="5"/>
                <w:left w:space="5"/>
                <w:bottom w:space="5"/>
                <w:right w:space="5"/>
              </w:pBdr>
              <w:spacing w:after="0"/>
              <w:ind w:left="240"/>
              <w:jc w:val="left"/>
            </w:pPr>
            <w:r>
              <w:rPr>
                <w:rFonts w:ascii="Times New Roman" w:hAnsi="Times New Roman"/>
                <w:b/>
                <w:i w:val="false"/>
                <w:color w:val="000000"/>
                <w:sz w:val="22"/>
              </w:rPr>
              <w:t>Non-Competitive –</w:t>
            </w:r>
          </w:p>
          <w:p>
            <w:pPr>
              <w:pBdr>
                <w:top w:space="5"/>
                <w:left w:space="5"/>
                <w:bottom w:space="5"/>
                <w:right w:space="5"/>
              </w:pBdr>
              <w:spacing w:after="0"/>
              <w:ind w:left="240"/>
              <w:jc w:val="left"/>
            </w:pPr>
            <w:r>
              <w:rPr>
                <w:rFonts w:ascii="Times New Roman" w:hAnsi="Times New Roman"/>
                <w:b w:val="false"/>
                <w:i w:val="false"/>
                <w:color w:val="000000"/>
                <w:sz w:val="22"/>
              </w:rPr>
              <w:t>J&amp;A</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Requests for Final Proposal Revi</w:t>
            </w:r>
            <w:r>
              <w:rPr>
                <w:rFonts w:ascii="Times New Roman" w:hAnsi="Times New Roman"/>
                <w:b/>
                <w:i w:val="false"/>
                <w:color w:val="000000"/>
                <w:sz w:val="22"/>
                <w:u w:val="single"/>
              </w:rPr>
              <w:t>sions (FPR)</w:t>
            </w:r>
          </w:p>
          <w:p>
            <w:pPr>
              <w:pBdr>
                <w:top w:space="5"/>
                <w:left w:space="5"/>
                <w:bottom w:space="5"/>
                <w:right w:space="5"/>
              </w:pBdr>
              <w:spacing w:after="0"/>
              <w:ind w:left="240"/>
              <w:jc w:val="left"/>
            </w:pPr>
            <w:r>
              <w:rPr>
                <w:rFonts w:ascii="Times New Roman" w:hAnsi="Times New Roman"/>
                <w:b w:val="false"/>
                <w:i/>
                <w:color w:val="000000"/>
                <w:sz w:val="22"/>
              </w:rPr>
              <w:t>(competitive only)</w:t>
            </w:r>
          </w:p>
          <w:p>
            <w:pPr>
              <w:pBdr>
                <w:top w:space="5"/>
                <w:left w:space="5"/>
                <w:bottom w:space="5"/>
                <w:right w:space="5"/>
              </w:pBdr>
              <w:spacing w:after="0"/>
              <w:ind w:left="240"/>
              <w:jc w:val="left"/>
            </w:pPr>
            <w:r>
              <w:rPr>
                <w:rFonts w:ascii="Times New Roman" w:hAnsi="Times New Roman"/>
                <w:b w:val="false"/>
                <w:i w:val="false"/>
                <w:color w:val="000000"/>
                <w:sz w:val="22"/>
              </w:rPr>
              <w:t>Evaluation Notices (ENs) and Contractor Responses</w:t>
            </w:r>
          </w:p>
          <w:p>
            <w:pPr>
              <w:pBdr>
                <w:top w:space="5"/>
                <w:left w:space="5"/>
                <w:bottom w:space="5"/>
                <w:right w:space="5"/>
              </w:pBdr>
              <w:spacing w:after="0"/>
              <w:ind w:left="240"/>
              <w:jc w:val="left"/>
            </w:pPr>
            <w:r>
              <w:rPr>
                <w:rFonts w:ascii="Times New Roman" w:hAnsi="Times New Roman"/>
                <w:b w:val="false"/>
                <w:i w:val="false"/>
                <w:color w:val="000000"/>
                <w:sz w:val="22"/>
              </w:rPr>
              <w:t>Draft Source Selection Evaluation Board (SSEB) Report</w:t>
            </w:r>
          </w:p>
          <w:p>
            <w:pPr>
              <w:pBdr>
                <w:top w:space="5"/>
                <w:left w:space="5"/>
                <w:bottom w:space="5"/>
                <w:right w:space="5"/>
              </w:pBdr>
              <w:spacing w:after="0"/>
              <w:ind w:left="240"/>
              <w:jc w:val="left"/>
            </w:pPr>
            <w:r>
              <w:rPr>
                <w:rFonts w:ascii="Times New Roman" w:hAnsi="Times New Roman"/>
                <w:b w:val="false"/>
                <w:i w:val="false"/>
                <w:color w:val="000000"/>
                <w:sz w:val="22"/>
              </w:rPr>
              <w:t>Draft FPR notice</w:t>
            </w:r>
          </w:p>
        </w:tc>
      </w:tr>
      <w:tr>
        <w:trPr>
          <w:trHeight w:val="778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Business Clearance</w:t>
            </w:r>
          </w:p>
          <w:p>
            <w:pPr>
              <w:pBdr>
                <w:top w:space="5"/>
                <w:left w:space="5"/>
                <w:bottom w:space="5"/>
                <w:right w:space="5"/>
              </w:pBdr>
              <w:spacing w:after="0"/>
              <w:ind w:left="240"/>
              <w:jc w:val="left"/>
            </w:pPr>
            <w:r>
              <w:rPr>
                <w:rFonts w:ascii="Times New Roman" w:hAnsi="Times New Roman"/>
                <w:b w:val="false"/>
                <w:i w:val="false"/>
                <w:color w:val="000000"/>
                <w:sz w:val="22"/>
              </w:rPr>
              <w:t>Access to file</w:t>
            </w:r>
          </w:p>
          <w:p>
            <w:pPr>
              <w:pBdr>
                <w:top w:space="5"/>
                <w:left w:space="5"/>
                <w:bottom w:space="5"/>
                <w:right w:space="5"/>
              </w:pBdr>
              <w:spacing w:after="0"/>
              <w:ind w:left="240"/>
              <w:jc w:val="left"/>
            </w:pPr>
            <w:r>
              <w:rPr>
                <w:rFonts w:ascii="Times New Roman" w:hAnsi="Times New Roman"/>
                <w:b w:val="false"/>
                <w:i w:val="false"/>
                <w:color w:val="000000"/>
                <w:sz w:val="22"/>
              </w:rPr>
              <w:t>Local Legal Review</w:t>
            </w:r>
          </w:p>
          <w:p>
            <w:pPr>
              <w:pBdr>
                <w:top w:space="5"/>
                <w:left w:space="5"/>
                <w:bottom w:space="5"/>
                <w:right w:space="5"/>
              </w:pBdr>
              <w:spacing w:after="0"/>
              <w:ind w:left="240"/>
              <w:jc w:val="left"/>
            </w:pPr>
            <w:r>
              <w:rPr>
                <w:rFonts w:ascii="Times New Roman" w:hAnsi="Times New Roman"/>
                <w:b/>
                <w:i w:val="false"/>
                <w:color w:val="000000"/>
                <w:sz w:val="22"/>
              </w:rPr>
              <w:t>Competitive –</w:t>
            </w:r>
            <w:r>
              <w:rPr>
                <w:rFonts w:ascii="Times New Roman" w:hAnsi="Times New Roman"/>
                <w:b/>
                <w:i w:val="false"/>
                <w:color w:val="000000"/>
                <w:sz w:val="22"/>
              </w:rPr>
              <w:t>obtain approval to award without discussions or begin discussions</w:t>
            </w:r>
          </w:p>
          <w:p>
            <w:pPr>
              <w:pBdr>
                <w:top w:space="5"/>
                <w:left w:space="5"/>
                <w:bottom w:space="5"/>
                <w:right w:space="5"/>
              </w:pBdr>
              <w:spacing w:after="0"/>
              <w:ind w:left="240"/>
              <w:jc w:val="left"/>
            </w:pPr>
            <w:r>
              <w:rPr>
                <w:rFonts w:ascii="Times New Roman" w:hAnsi="Times New Roman"/>
                <w:b w:val="false"/>
                <w:i w:val="false"/>
                <w:color w:val="000000"/>
                <w:sz w:val="22"/>
              </w:rPr>
              <w:t>Request for Clearance</w:t>
            </w:r>
          </w:p>
          <w:p>
            <w:pPr>
              <w:pBdr>
                <w:top w:space="5"/>
                <w:left w:space="5"/>
                <w:bottom w:space="5"/>
                <w:right w:space="5"/>
              </w:pBdr>
              <w:spacing w:after="0"/>
              <w:ind w:left="240"/>
              <w:jc w:val="left"/>
            </w:pPr>
            <w:r>
              <w:rPr>
                <w:rFonts w:ascii="Times New Roman" w:hAnsi="Times New Roman"/>
                <w:b w:val="false"/>
                <w:i w:val="false"/>
                <w:color w:val="000000"/>
                <w:sz w:val="22"/>
              </w:rPr>
              <w:t>Initial SSEB report</w:t>
            </w:r>
          </w:p>
          <w:p>
            <w:pPr>
              <w:pBdr>
                <w:top w:space="5"/>
                <w:left w:space="5"/>
                <w:bottom w:space="5"/>
                <w:right w:space="5"/>
              </w:pBdr>
              <w:spacing w:after="0"/>
              <w:ind w:left="240"/>
              <w:jc w:val="left"/>
            </w:pPr>
            <w:r>
              <w:rPr>
                <w:rFonts w:ascii="Times New Roman" w:hAnsi="Times New Roman"/>
                <w:b w:val="false"/>
                <w:i w:val="false"/>
                <w:color w:val="000000"/>
                <w:sz w:val="22"/>
              </w:rPr>
              <w:t>Draft Competitive Range Determination</w:t>
            </w:r>
          </w:p>
          <w:p>
            <w:pPr>
              <w:pBdr>
                <w:top w:space="5"/>
                <w:left w:space="5"/>
                <w:bottom w:space="5"/>
                <w:right w:space="5"/>
              </w:pBdr>
              <w:spacing w:after="0"/>
              <w:ind w:left="240"/>
              <w:jc w:val="left"/>
            </w:pPr>
            <w:r>
              <w:rPr>
                <w:rFonts w:ascii="Times New Roman" w:hAnsi="Times New Roman"/>
                <w:b/>
                <w:i w:val="false"/>
                <w:color w:val="000000"/>
                <w:sz w:val="22"/>
              </w:rPr>
              <w:t>Non-Competitive –</w:t>
            </w:r>
            <w:r>
              <w:rPr>
                <w:rFonts w:ascii="Times New Roman" w:hAnsi="Times New Roman"/>
                <w:b/>
                <w:i w:val="false"/>
                <w:color w:val="000000"/>
                <w:sz w:val="22"/>
              </w:rPr>
              <w:t>obtain approval prior to beginning negotiations</w:t>
            </w:r>
          </w:p>
          <w:p>
            <w:pPr>
              <w:pBdr>
                <w:top w:space="5"/>
                <w:left w:space="5"/>
                <w:bottom w:space="5"/>
                <w:right w:space="5"/>
              </w:pBdr>
              <w:spacing w:after="0"/>
              <w:ind w:left="240"/>
              <w:jc w:val="left"/>
            </w:pPr>
            <w:r>
              <w:rPr>
                <w:rFonts w:ascii="Times New Roman" w:hAnsi="Times New Roman"/>
                <w:b w:val="false"/>
                <w:i w:val="false"/>
                <w:color w:val="000000"/>
                <w:sz w:val="22"/>
              </w:rPr>
              <w:t>Pre-negotiation Business Clearance Memorandum</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Contract Clearance</w:t>
            </w:r>
          </w:p>
          <w:p>
            <w:pPr>
              <w:pBdr>
                <w:top w:space="5"/>
                <w:left w:space="5"/>
                <w:bottom w:space="5"/>
                <w:right w:space="5"/>
              </w:pBdr>
              <w:spacing w:after="0"/>
              <w:ind w:left="240"/>
              <w:jc w:val="left"/>
            </w:pPr>
            <w:r>
              <w:rPr>
                <w:rFonts w:ascii="Times New Roman" w:hAnsi="Times New Roman"/>
                <w:b/>
                <w:i w:val="false"/>
                <w:color w:val="000000"/>
                <w:sz w:val="22"/>
              </w:rPr>
              <w:t>Approval of the negotiated business arrangement</w:t>
            </w:r>
          </w:p>
          <w:p>
            <w:pPr>
              <w:pBdr>
                <w:top w:space="5"/>
                <w:left w:space="5"/>
                <w:bottom w:space="5"/>
                <w:right w:space="5"/>
              </w:pBdr>
              <w:spacing w:after="0"/>
              <w:ind w:left="240"/>
              <w:jc w:val="left"/>
            </w:pPr>
            <w:r>
              <w:rPr>
                <w:rFonts w:ascii="Times New Roman" w:hAnsi="Times New Roman"/>
                <w:b w:val="false"/>
                <w:i w:val="false"/>
                <w:color w:val="000000"/>
                <w:sz w:val="22"/>
              </w:rPr>
              <w:t>Access to file – to include access to the contract writing system</w:t>
            </w:r>
          </w:p>
          <w:p>
            <w:pPr>
              <w:pBdr>
                <w:top w:space="5"/>
                <w:left w:space="5"/>
                <w:bottom w:space="5"/>
                <w:right w:space="5"/>
              </w:pBdr>
              <w:spacing w:after="0"/>
              <w:ind w:left="240"/>
              <w:jc w:val="left"/>
            </w:pPr>
            <w:r>
              <w:rPr>
                <w:rFonts w:ascii="Times New Roman" w:hAnsi="Times New Roman"/>
                <w:b w:val="false"/>
                <w:i w:val="false"/>
                <w:color w:val="000000"/>
                <w:sz w:val="22"/>
              </w:rPr>
              <w:t>Draft contract</w:t>
            </w:r>
          </w:p>
          <w:p>
            <w:pPr>
              <w:pBdr>
                <w:top w:space="5"/>
                <w:left w:space="5"/>
                <w:bottom w:space="5"/>
                <w:right w:space="5"/>
              </w:pBdr>
              <w:spacing w:after="0"/>
              <w:ind w:left="240"/>
              <w:jc w:val="left"/>
            </w:pPr>
            <w:r>
              <w:rPr>
                <w:rFonts w:ascii="Times New Roman" w:hAnsi="Times New Roman"/>
                <w:b w:val="false"/>
                <w:i w:val="false"/>
                <w:color w:val="000000"/>
                <w:sz w:val="22"/>
              </w:rPr>
              <w:t>Local Legal Review</w:t>
            </w:r>
          </w:p>
          <w:p>
            <w:pPr>
              <w:pBdr>
                <w:top w:space="5"/>
                <w:left w:space="5"/>
                <w:bottom w:space="5"/>
                <w:right w:space="5"/>
              </w:pBdr>
              <w:spacing w:after="0"/>
              <w:ind w:left="240"/>
              <w:jc w:val="left"/>
            </w:pPr>
            <w:r>
              <w:rPr>
                <w:rFonts w:ascii="Times New Roman" w:hAnsi="Times New Roman"/>
                <w:b/>
                <w:i w:val="false"/>
                <w:color w:val="000000"/>
                <w:sz w:val="22"/>
              </w:rPr>
              <w:t>Competitive</w:t>
            </w:r>
          </w:p>
          <w:p>
            <w:pPr>
              <w:pBdr>
                <w:top w:space="5"/>
                <w:left w:space="5"/>
                <w:bottom w:space="5"/>
                <w:right w:space="5"/>
              </w:pBdr>
              <w:spacing w:after="0"/>
              <w:ind w:left="240"/>
              <w:jc w:val="left"/>
            </w:pPr>
            <w:r>
              <w:rPr>
                <w:rFonts w:ascii="Times New Roman" w:hAnsi="Times New Roman"/>
                <w:b w:val="false"/>
                <w:i w:val="false"/>
                <w:color w:val="000000"/>
                <w:sz w:val="22"/>
              </w:rPr>
              <w:t>Request for Clearance</w:t>
            </w:r>
          </w:p>
          <w:p>
            <w:pPr>
              <w:pBdr>
                <w:top w:space="5"/>
                <w:left w:space="5"/>
                <w:bottom w:space="5"/>
                <w:right w:space="5"/>
              </w:pBdr>
              <w:spacing w:after="0"/>
              <w:ind w:left="240"/>
              <w:jc w:val="left"/>
            </w:pPr>
            <w:r>
              <w:rPr>
                <w:rFonts w:ascii="Times New Roman" w:hAnsi="Times New Roman"/>
                <w:b w:val="false"/>
                <w:i w:val="false"/>
                <w:color w:val="000000"/>
                <w:sz w:val="22"/>
              </w:rPr>
              <w:t>Final SSEB Report</w:t>
            </w:r>
          </w:p>
          <w:p>
            <w:pPr>
              <w:pBdr>
                <w:top w:space="5"/>
                <w:left w:space="5"/>
                <w:bottom w:space="5"/>
                <w:right w:space="5"/>
              </w:pBdr>
              <w:spacing w:after="0"/>
              <w:ind w:left="240"/>
              <w:jc w:val="left"/>
            </w:pPr>
            <w:r>
              <w:rPr>
                <w:rFonts w:ascii="Times New Roman" w:hAnsi="Times New Roman"/>
                <w:b w:val="false"/>
                <w:i w:val="false"/>
                <w:color w:val="000000"/>
                <w:sz w:val="22"/>
              </w:rPr>
              <w:t>Source Selection Advisory Council (SSAC) Report (if applicable)</w:t>
            </w:r>
          </w:p>
          <w:p>
            <w:pPr>
              <w:pBdr>
                <w:top w:space="5"/>
                <w:left w:space="5"/>
                <w:bottom w:space="5"/>
                <w:right w:space="5"/>
              </w:pBdr>
              <w:spacing w:after="0"/>
              <w:ind w:left="240"/>
              <w:jc w:val="left"/>
            </w:pPr>
            <w:r>
              <w:rPr>
                <w:rFonts w:ascii="Times New Roman" w:hAnsi="Times New Roman"/>
                <w:b w:val="false"/>
                <w:i w:val="false"/>
                <w:color w:val="000000"/>
                <w:sz w:val="22"/>
              </w:rPr>
              <w:t>Draft Decision Briefing</w:t>
            </w:r>
          </w:p>
          <w:p>
            <w:pPr>
              <w:pBdr>
                <w:top w:space="5"/>
                <w:left w:space="5"/>
                <w:bottom w:space="5"/>
                <w:right w:space="5"/>
              </w:pBdr>
              <w:spacing w:after="0"/>
              <w:ind w:left="240"/>
              <w:jc w:val="left"/>
            </w:pPr>
            <w:r>
              <w:rPr>
                <w:rFonts w:ascii="Times New Roman" w:hAnsi="Times New Roman"/>
                <w:b w:val="false"/>
                <w:i w:val="false"/>
                <w:color w:val="000000"/>
                <w:sz w:val="22"/>
              </w:rPr>
              <w:t>Draft Source Selection Decision Document (SSDD)</w:t>
            </w:r>
          </w:p>
          <w:p>
            <w:pPr>
              <w:pBdr>
                <w:top w:space="5"/>
                <w:left w:space="5"/>
                <w:bottom w:space="5"/>
                <w:right w:space="5"/>
              </w:pBdr>
              <w:spacing w:after="0"/>
              <w:ind w:left="240"/>
              <w:jc w:val="left"/>
            </w:pPr>
            <w:r>
              <w:rPr>
                <w:rFonts w:ascii="Times New Roman" w:hAnsi="Times New Roman"/>
                <w:b/>
                <w:i w:val="false"/>
                <w:color w:val="000000"/>
                <w:sz w:val="22"/>
              </w:rPr>
              <w:t>Non-Competitive</w:t>
            </w:r>
          </w:p>
          <w:p>
            <w:pPr>
              <w:pBdr>
                <w:top w:space="5"/>
                <w:left w:space="5"/>
                <w:bottom w:space="5"/>
                <w:right w:space="5"/>
              </w:pBdr>
              <w:spacing w:after="0"/>
              <w:ind w:left="240"/>
              <w:jc w:val="left"/>
            </w:pPr>
            <w:r>
              <w:rPr>
                <w:rFonts w:ascii="Times New Roman" w:hAnsi="Times New Roman"/>
                <w:b w:val="false"/>
                <w:i w:val="false"/>
                <w:color w:val="000000"/>
                <w:sz w:val="22"/>
              </w:rPr>
              <w:t>Post-negotiation Business Clearance Memorandum</w:t>
            </w:r>
          </w:p>
        </w:tc>
      </w:tr>
      <w:tr>
        <w:trPr>
          <w:trHeight w:val="246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Terminations</w:t>
            </w:r>
          </w:p>
          <w:p>
            <w:pPr>
              <w:pBdr>
                <w:top w:space="5"/>
                <w:left w:space="5"/>
                <w:bottom w:space="5"/>
                <w:right w:space="5"/>
              </w:pBdr>
              <w:spacing w:after="0"/>
              <w:ind w:left="240"/>
              <w:jc w:val="left"/>
            </w:pPr>
            <w:r>
              <w:rPr>
                <w:rFonts w:ascii="Times New Roman" w:hAnsi="Times New Roman"/>
                <w:b w:val="false"/>
                <w:i w:val="false"/>
                <w:color w:val="000000"/>
                <w:sz w:val="22"/>
              </w:rPr>
              <w:t>Termination Authority Form</w:t>
            </w:r>
          </w:p>
          <w:p>
            <w:pPr>
              <w:pBdr>
                <w:top w:space="5"/>
                <w:left w:space="5"/>
                <w:bottom w:space="5"/>
                <w:right w:space="5"/>
              </w:pBdr>
              <w:spacing w:after="0"/>
              <w:ind w:left="240"/>
              <w:jc w:val="left"/>
            </w:pPr>
            <w:r>
              <w:rPr>
                <w:rFonts w:ascii="Times New Roman" w:hAnsi="Times New Roman"/>
                <w:b w:val="false"/>
                <w:i w:val="false"/>
                <w:color w:val="000000"/>
                <w:sz w:val="22"/>
              </w:rPr>
              <w:t>Modification</w:t>
            </w:r>
          </w:p>
          <w:p>
            <w:pPr>
              <w:pBdr>
                <w:top w:space="5"/>
                <w:left w:space="5"/>
                <w:bottom w:space="5"/>
                <w:right w:space="5"/>
              </w:pBdr>
              <w:spacing w:after="0"/>
              <w:ind w:left="240"/>
              <w:jc w:val="left"/>
            </w:pPr>
            <w:r>
              <w:rPr>
                <w:rFonts w:ascii="Times New Roman" w:hAnsi="Times New Roman"/>
                <w:b w:val="false"/>
                <w:i w:val="false"/>
                <w:color w:val="000000"/>
                <w:sz w:val="22"/>
              </w:rPr>
              <w:t>Local Legal Review</w:t>
            </w:r>
          </w:p>
          <w:p>
            <w:pPr>
              <w:pBdr>
                <w:top w:space="5"/>
                <w:left w:space="5"/>
                <w:bottom w:space="5"/>
                <w:right w:space="5"/>
              </w:pBdr>
              <w:spacing w:after="0"/>
              <w:ind w:left="240"/>
              <w:jc w:val="left"/>
            </w:pPr>
            <w:r>
              <w:rPr>
                <w:rFonts w:ascii="Times New Roman" w:hAnsi="Times New Roman"/>
                <w:b w:val="false"/>
                <w:i w:val="false"/>
                <w:color w:val="000000"/>
                <w:sz w:val="22"/>
              </w:rPr>
              <w:t>Show Cause Letter</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Ratifications</w:t>
            </w:r>
          </w:p>
          <w:p>
            <w:pPr>
              <w:pBdr>
                <w:top w:space="5"/>
                <w:left w:space="5"/>
                <w:bottom w:space="5"/>
                <w:right w:space="5"/>
              </w:pBdr>
              <w:spacing w:after="0"/>
              <w:ind w:left="240"/>
              <w:jc w:val="left"/>
            </w:pPr>
            <w:r>
              <w:rPr>
                <w:rFonts w:ascii="Times New Roman" w:hAnsi="Times New Roman"/>
                <w:b w:val="false"/>
                <w:i w:val="false"/>
                <w:color w:val="000000"/>
                <w:sz w:val="22"/>
              </w:rPr>
              <w:t>D&amp;F (including all documentation of unauthorized commitment)</w:t>
            </w:r>
          </w:p>
          <w:p>
            <w:pPr>
              <w:pBdr>
                <w:top w:space="5"/>
                <w:left w:space="5"/>
                <w:bottom w:space="5"/>
                <w:right w:space="5"/>
              </w:pBdr>
              <w:spacing w:after="0"/>
              <w:ind w:left="240"/>
              <w:jc w:val="left"/>
            </w:pPr>
            <w:r>
              <w:rPr>
                <w:rFonts w:ascii="Times New Roman" w:hAnsi="Times New Roman"/>
                <w:b w:val="false"/>
                <w:i w:val="false"/>
                <w:color w:val="000000"/>
                <w:sz w:val="22"/>
              </w:rPr>
              <w:t>Local Legal Review</w:t>
            </w:r>
          </w:p>
          <w:p>
            <w:pPr>
              <w:pBdr>
                <w:top w:space="5"/>
                <w:left w:space="5"/>
                <w:bottom w:space="5"/>
                <w:right w:space="5"/>
              </w:pBdr>
              <w:spacing w:after="0"/>
              <w:ind w:left="240"/>
              <w:jc w:val="left"/>
            </w:pPr>
            <w:r>
              <w:rPr>
                <w:rFonts w:ascii="Times New Roman" w:hAnsi="Times New Roman"/>
                <w:b w:val="false"/>
                <w:i w:val="false"/>
                <w:color w:val="000000"/>
                <w:sz w:val="22"/>
              </w:rPr>
              <w:t>Ratification Checklist with associated documents</w:t>
            </w:r>
          </w:p>
        </w:tc>
      </w:tr>
      <w:tr>
        <w:trPr>
          <w:trHeight w:val="1335"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Reference SOFARS 5604.803 Contents of Contract Files, DCG Part 4.1 Contents of Contract Files, and DCG Part 4.2 Contract Files Assurance and “Chain of Custody”. All documents listed above are to be included in the file prior to requesting review from SOF AT&amp;L-KM/KX/KB as required and applicable to the specific contracting action.</w:t>
            </w:r>
          </w:p>
        </w:tc>
      </w:tr>
    </w:tbl>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