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**ID__SOFARS_Attachment_5601-1.1b__ID**</w:t>
      </w:r>
    </w:p>
    <w:p>
      <w:pPr>
        <w:pStyle w:val="Heading2"/>
        <w:spacing w:after="180"/>
        <w:ind w:left="120"/>
        <w:jc w:val="center"/>
      </w:pPr>
      <w:r>
        <w:rPr>
          <w:rFonts w:ascii="Times New Roman" w:hAnsi="Times New Roman"/>
          <w:color w:val="000000"/>
        </w:rPr>
        <w:t>**ID__nWmhgk__ID**</w:t>
      </w:r>
      <w:r>
        <w:rPr>
          <w:rFonts w:ascii="Times New Roman" w:hAnsi="Times New Roman"/>
          <w:color w:val="000000"/>
        </w:rPr>
        <w:t xml:space="preserve"> </w:t>
      </w:r>
      <w:r>
        <w:rPr>
          <w:rFonts w:ascii="Times New Roman" w:hAnsi="Times New Roman"/>
          <w:color w:val="000000"/>
        </w:rPr>
        <w:t>Attachment 5601-1.1</w:t>
      </w:r>
      <w:r>
        <w:rPr>
          <w:rFonts w:ascii="Times New Roman" w:hAnsi="Times New Roman"/>
          <w:color w:val="000000"/>
        </w:rPr>
        <w:t>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w:t>
            </w:r>
            <w:r>
              <w:rPr>
                <w:rFonts w:ascii="Times New Roman" w:hAnsi="Times New Roman"/>
                <w:b/>
                <w:i w:val="false"/>
                <w:color w:val="000000"/>
                <w:sz w:val="22"/>
              </w:rPr>
              <w:t>– Applicable to ALL Offices</w:t>
            </w:r>
          </w:p>
        </w:tc>
      </w:tr>
      <w:tr>
        <w:trPr>
          <w:trHeight w:val="688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Acquisition planning is required for </w:t>
            </w:r>
            <w:r>
              <w:rPr>
                <w:rFonts w:ascii="Times New Roman" w:hAnsi="Times New Roman"/>
                <w:b/>
                <w:i/>
                <w:color w:val="000000"/>
                <w:sz w:val="22"/>
                <w:u w:val="single"/>
              </w:rPr>
              <w:t>ALL</w:t>
            </w:r>
            <w:r>
              <w:rPr>
                <w:rFonts w:ascii="Times New Roman" w:hAnsi="Times New Roman"/>
                <w:b w:val="false"/>
                <w:i w:val="false"/>
                <w:color w:val="000000"/>
                <w:sz w:val="22"/>
              </w:rP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w:pPr>
              <w:pBdr>
                <w:top w:space="5"/>
                <w:left w:space="5"/>
                <w:bottom w:space="5"/>
                <w:right w:space="5"/>
              </w:pBdr>
              <w:spacing w:after="0"/>
              <w:ind w:left="240"/>
              <w:jc w:val="left"/>
            </w:pPr>
            <w:r>
              <w:rPr>
                <w:rFonts w:ascii="Times New Roman" w:hAnsi="Times New Roman"/>
                <w:b/>
                <w:i w:val="false"/>
                <w:color w:val="000000"/>
                <w:sz w:val="22"/>
              </w:rPr>
              <w:t>AP Coordination</w:t>
            </w:r>
            <w:r>
              <w:rPr>
                <w:rFonts w:ascii="Times New Roman" w:hAnsi="Times New Roman"/>
                <w:b w:val="false"/>
                <w:i w:val="false"/>
                <w:color w:val="000000"/>
                <w:sz w:val="22"/>
              </w:rP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w:pPr>
              <w:pBdr>
                <w:top w:space="5"/>
                <w:left w:space="5"/>
                <w:bottom w:space="5"/>
                <w:right w:space="5"/>
              </w:pBdr>
              <w:spacing w:after="0"/>
              <w:ind w:left="240"/>
              <w:jc w:val="left"/>
            </w:pPr>
            <w:r>
              <w:rPr>
                <w:rFonts w:ascii="Times New Roman" w:hAnsi="Times New Roman"/>
                <w:b/>
                <w:i w:val="false"/>
                <w:color w:val="000000"/>
                <w:sz w:val="22"/>
              </w:rPr>
              <w:t>AP Approval</w:t>
            </w:r>
            <w:r>
              <w:rPr>
                <w:rFonts w:ascii="Times New Roman" w:hAnsi="Times New Roman"/>
                <w:b w:val="false"/>
                <w:i w:val="false"/>
                <w:color w:val="000000"/>
                <w:sz w:val="22"/>
              </w:rPr>
              <w:t xml:space="preserve"> - PEO/Director/O-6 or civilian equivalent are authorized to approve non-competitive acquisition plans.</w:t>
            </w:r>
          </w:p>
        </w:tc>
      </w:tr>
      <w:tr>
        <w:trPr>
          <w:trHeight w:val="187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Anytime the FAR/DFARS (see attached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rPr>
              <w:t>) states a Determination is required, the determination is to be made in writing and placed in the contract file. The DoD listing provides examples. USSOCOM templates are to be used when available.</w:t>
            </w:r>
          </w:p>
        </w:tc>
      </w:tr>
      <w:tr>
        <w:trPr>
          <w:trHeight w:val="21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See SOFARS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5606.501</w:t>
              </w:r>
            </w:hyperlink>
            <w:r>
              <w:rPr>
                <w:rFonts w:ascii="Times New Roman" w:hAnsi="Times New Roman"/>
                <w:b w:val="false"/>
                <w:i w:val="false"/>
                <w:color w:val="000000"/>
                <w:sz w:val="22"/>
              </w:rP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SOFARS 5601.170 for local and DPC peer review requirements and phases.</w:t>
            </w:r>
          </w:p>
        </w:tc>
      </w:tr>
      <w:tr>
        <w:trPr>
          <w:trHeight w:val="240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RFP Reviews apply to all contracting actions, including task orders and delivery orders, regardless of method (i.e. FAR Part 8, 12, 13, 15, 16, etc.). </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xml:space="preserve"> Delivery or task orders issued from pre-priced IDIQ contracts with a defined delivery schedule or period of performance.</w:t>
            </w:r>
          </w:p>
        </w:tc>
      </w:tr>
      <w:tr>
        <w:trPr>
          <w:trHeight w:val="23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 Reviews apply to all contracting actions, including task orders and delivery orders, regardless of method (i.e. FAR Part 8, 12, 13, 15, 16, etc.).</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397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15.406-3</w:t>
              </w:r>
            </w:hyperlink>
            <w:r>
              <w:rPr>
                <w:rFonts w:ascii="Times New Roman" w:hAnsi="Times New Roman"/>
                <w:b w:val="false"/>
                <w:i w:val="false"/>
                <w:color w:val="000000"/>
                <w:sz w:val="22"/>
                <w:u w:val="single"/>
              </w:rPr>
              <w:t>.</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106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Plans – When the Reviewer is also the SSA, the SSP must be reviewed in accordance with SOFARS 5615.303(a)(2)(B).</w:t>
            </w:r>
          </w:p>
        </w:tc>
      </w:tr>
      <w:tr>
        <w:trPr>
          <w:trHeight w:val="16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review or approval through the cognizant program LNO. The LNO is authorized to approve actions estimated less than $50M when SOF AT&amp;L-KM, KX, or KB is the approval authority.</w:t>
            </w:r>
          </w:p>
        </w:tc>
      </w:tr>
      <w:tr>
        <w:trPr>
          <w:trHeight w:val="21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i w:val="false"/>
                <w:color w:val="000000"/>
                <w:sz w:val="22"/>
              </w:rPr>
              <w:t>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Threshold (SAT) is defined in FAR 2.101.</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$100M with the HCA/DDoP.</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acq.osd.mil/dpap/ccap/cc/jcchb/HTML/Topical/df_listing.html" Type="http://schemas.openxmlformats.org/officeDocument/2006/relationships/hyperlink" Id="rId4"/>
    <Relationship TargetMode="External" Target="https://sof.atl.socom.mil/sites/K/SOFARS_DCG/SOFARS/5606.docx" Type="http://schemas.openxmlformats.org/officeDocument/2006/relationships/hyperlink" Id="rId5"/>
    <Relationship TargetMode="External" Target="http://farsite.hill.af.mil/reghtml/regs/far2afmcfars/fardfars/far/15.htm"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