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**ID__SOFARS_Attachment_5601-1.2a__ID**</w:t>
      </w:r>
    </w:p>
    <w:p>
      <w:pPr>
        <w:pStyle w:val="Heading2"/>
        <w:spacing w:after="180"/>
        <w:ind w:left="120"/>
        <w:jc w:val="center"/>
      </w:pPr>
      <w:r>
        <w:rPr>
          <w:rFonts w:ascii="Times New Roman" w:hAnsi="Times New Roman"/>
          <w:color w:val="000000"/>
        </w:rPr>
        <w:t xml:space="preserve">Attachment </w:t>
      </w:r>
      <w:r>
        <w:rPr>
          <w:rFonts w:ascii="Times New Roman" w:hAnsi="Times New Roman"/>
          <w:color w:val="000000"/>
        </w:rPr>
        <w:t>5601-1.2</w:t>
      </w:r>
      <w:r>
        <w:rPr>
          <w:rFonts w:ascii="Times New Roman" w:hAnsi="Times New Roman"/>
          <w:color w:val="000000"/>
        </w:rPr>
        <w:t>a</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524"/>
        <w:gridCol w:w="4525"/>
        <w:gridCol w:w="4525"/>
      </w:tblGrid>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June 2021</w:t>
            </w:r>
          </w:p>
        </w:tc>
      </w:tr>
      <w:tr>
        <w:trPr>
          <w:trHeight w:val="52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SOF AT&amp;L-</w:t>
            </w:r>
            <w:r>
              <w:rPr>
                <w:rFonts w:ascii="Times New Roman" w:hAnsi="Times New Roman"/>
                <w:b/>
                <w:i w:val="false"/>
                <w:color w:val="000000"/>
                <w:sz w:val="22"/>
              </w:rPr>
              <w:t>KF/</w:t>
            </w:r>
            <w:r>
              <w:rPr>
                <w:rFonts w:ascii="Times New Roman" w:hAnsi="Times New Roman"/>
                <w:b/>
                <w:i w:val="false"/>
                <w:color w:val="000000"/>
                <w:sz w:val="22"/>
              </w:rPr>
              <w:t>KH/KP/KW/KI/KR/KS</w:t>
            </w:r>
          </w:p>
        </w:tc>
      </w:tr>
      <w:tr>
        <w:trPr>
          <w:trHeight w:val="54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 Plan</w:t>
            </w:r>
            <w:r>
              <w:rPr>
                <w:rFonts w:ascii="Times New Roman" w:hAnsi="Times New Roman"/>
                <w:b/>
                <w:i w:val="false"/>
                <w:color w:val="000000"/>
                <w:sz w:val="22"/>
              </w:rPr>
              <w:t xml:space="preserve">(See </w:t>
            </w:r>
            <w:hyperlink r:id="rId4">
              <w:r>
                <w:rPr>
                  <w:rStyle w:val="Hyperlink"/>
                  <w:rFonts w:ascii="Times New Roman" w:hAnsi="Times New Roman"/>
                  <w:b/>
                  <w:i w:val="false"/>
                  <w:color w:val="0000ff"/>
                  <w:sz w:val="22"/>
                  <w:u w:val="single"/>
                </w:rPr>
                <w:t>Note 1</w:t>
              </w:r>
            </w:hyperlink>
            <w:r>
              <w:rPr>
                <w:rFonts w:ascii="Times New Roman" w:hAnsi="Times New Roman"/>
                <w:b/>
                <w:i w:val="false"/>
                <w:color w:val="000000"/>
                <w:sz w:val="22"/>
              </w:rPr>
              <w:t xml:space="preserve"> &amp; </w:t>
            </w:r>
            <w:hyperlink r:id="rId5">
              <w:r>
                <w:rPr>
                  <w:rStyle w:val="Hyperlink"/>
                  <w:rFonts w:ascii="Times New Roman" w:hAnsi="Times New Roman"/>
                  <w:b/>
                  <w:i w:val="false"/>
                  <w:color w:val="0000ff"/>
                  <w:sz w:val="22"/>
                  <w:u w:val="single"/>
                </w:rPr>
                <w:t>Note 12</w:t>
              </w:r>
            </w:hyperlink>
            <w:r>
              <w:rPr>
                <w:rFonts w:ascii="Times New Roman" w:hAnsi="Times New Roman"/>
                <w:b/>
                <w:i w:val="false"/>
                <w:color w:val="000000"/>
                <w:sz w:val="22"/>
              </w:rPr>
              <w:t>)</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&amp; SOF AT&amp;L-KM</w:t>
            </w:r>
            <w:r>
              <w:rPr>
                <w:rFonts w:ascii="Times New Roman" w:hAnsi="Times New Roman"/>
                <w:b w:val="false"/>
                <w:i w:val="false"/>
                <w:color w:val="000000"/>
                <w:vertAlign w:val="superscript"/>
              </w:rPr>
              <w:t>3</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&amp; SOF AT&amp;L-KM</w:t>
            </w:r>
            <w:r>
              <w:rPr>
                <w:rFonts w:ascii="Times New Roman" w:hAnsi="Times New Roman"/>
                <w:b w:val="false"/>
                <w:i w:val="false"/>
                <w:color w:val="000000"/>
                <w:vertAlign w:val="superscript"/>
              </w:rPr>
              <w:t>3</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 For Services refer to 5601-1.2l </w:t>
            </w:r>
            <w:hyperlink r:id="rId6">
              <w:r>
                <w:rPr>
                  <w:rStyle w:val="Hyperlink"/>
                  <w:rFonts w:ascii="Times New Roman" w:hAnsi="Times New Roman"/>
                  <w:b w:val="false"/>
                  <w:i w:val="false"/>
                  <w:color w:val="0000ff"/>
                  <w:sz w:val="22"/>
                  <w:u w:val="single"/>
                </w:rPr>
                <w:t>Acquisition Strategy for Services</w:t>
              </w:r>
            </w:hyperlink>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Type of Contract D&amp;F</w:t>
            </w:r>
          </w:p>
        </w:tc>
      </w:tr>
      <w:tr>
        <w:trPr>
          <w:trHeight w:val="106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SOF AT&amp;L-KM</w:t>
            </w:r>
            <w:r>
              <w:rPr>
                <w:rFonts w:ascii="Times New Roman" w:hAnsi="Times New Roman"/>
                <w:b w:val="false"/>
                <w:i w:val="false"/>
                <w:color w:val="000000"/>
                <w:vertAlign w:val="superscript"/>
              </w:rPr>
              <w:t>3,</w:t>
            </w:r>
            <w:r>
              <w:rPr>
                <w:rFonts w:ascii="Times New Roman" w:hAnsi="Times New Roman"/>
                <w:b w:val="false"/>
                <w:i w:val="false"/>
                <w:color w:val="000000"/>
                <w:sz w:val="22"/>
              </w:rPr>
              <w:t xml:space="preserve"> &amp; HCA</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&amp; SOF AT&amp;L-KM</w:t>
            </w:r>
            <w:r>
              <w:rPr>
                <w:rFonts w:ascii="Times New Roman" w:hAnsi="Times New Roman"/>
                <w:b w:val="false"/>
                <w:i w:val="false"/>
                <w:color w:val="000000"/>
                <w:vertAlign w:val="superscript"/>
              </w:rPr>
              <w:t>3</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8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r>
              <w:rPr>
                <w:rFonts w:ascii="Times New Roman" w:hAnsi="Times New Roman"/>
                <w:b w:val="false"/>
                <w:i w:val="false"/>
                <w:color w:val="000000"/>
                <w:vertAlign w:val="superscript"/>
              </w:rPr>
              <w:t>1</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&amp; SOF AT&amp;L-KM</w:t>
            </w:r>
            <w:r>
              <w:rPr>
                <w:rFonts w:ascii="Times New Roman" w:hAnsi="Times New Roman"/>
                <w:b w:val="false"/>
                <w:i w:val="false"/>
                <w:color w:val="000000"/>
                <w:vertAlign w:val="superscript"/>
              </w:rPr>
              <w:t>3</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&amp; SOF AT&amp;L-KM</w:t>
            </w:r>
            <w:r>
              <w:rPr>
                <w:rFonts w:ascii="Times New Roman" w:hAnsi="Times New Roman"/>
                <w:b w:val="false"/>
                <w:i w:val="false"/>
                <w:color w:val="000000"/>
                <w:vertAlign w:val="superscript"/>
              </w:rPr>
              <w:t>3</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06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&amp; SOF AT&amp;L-KM</w:t>
            </w:r>
            <w:r>
              <w:rPr>
                <w:rFonts w:ascii="Times New Roman" w:hAnsi="Times New Roman"/>
                <w:b w:val="false"/>
                <w:i w:val="false"/>
                <w:color w:val="000000"/>
                <w:vertAlign w:val="superscript"/>
              </w:rPr>
              <w:t>3</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33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r>
              <w:rPr>
                <w:rFonts w:ascii="Times New Roman" w:hAnsi="Times New Roman"/>
                <w:b w:val="false"/>
                <w:i w:val="false"/>
                <w:color w:val="000000"/>
                <w:vertAlign w:val="superscript"/>
              </w:rPr>
              <w:t>2</w:t>
            </w:r>
          </w:p>
        </w:tc>
      </w:tr>
      <w:tr>
        <w:trPr>
          <w:trHeight w:val="94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and E</w:t>
            </w:r>
            <w:r>
              <w:rPr>
                <w:rFonts w:ascii="Times New Roman" w:hAnsi="Times New Roman"/>
                <w:b/>
                <w:i w:val="false"/>
                <w:color w:val="000000"/>
                <w:sz w:val="22"/>
              </w:rPr>
              <w:t>xception to Fair Opportunity</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$700,000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$700,000, but less than or equal to $6.5M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PAAC</w:t>
            </w:r>
          </w:p>
        </w:tc>
      </w:tr>
      <w:tr>
        <w:trPr>
          <w:trHeight w:val="85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$6.5M, but less than or equal to $13.5M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&amp; SOF AT&amp;L-KM</w:t>
            </w:r>
            <w:r>
              <w:rPr>
                <w:rFonts w:ascii="Times New Roman" w:hAnsi="Times New Roman"/>
                <w:b w:val="false"/>
                <w:i w:val="false"/>
                <w:color w:val="000000"/>
                <w:vertAlign w:val="superscript"/>
              </w:rPr>
              <w:t>3</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AAC</w:t>
            </w:r>
          </w:p>
        </w:tc>
      </w:tr>
      <w:tr>
        <w:trPr>
          <w:trHeight w:val="85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$13.5M, but less than or equal to $93M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AT&amp;L-KM</w:t>
            </w:r>
            <w:r>
              <w:rPr>
                <w:rFonts w:ascii="Times New Roman" w:hAnsi="Times New Roman"/>
                <w:b w:val="false"/>
                <w:i w:val="false"/>
                <w:color w:val="000000"/>
                <w:vertAlign w:val="superscript"/>
              </w:rPr>
              <w:t>3</w:t>
            </w:r>
            <w:r>
              <w:rPr>
                <w:rFonts w:ascii="Times New Roman" w:hAnsi="Times New Roman"/>
                <w:b w:val="false"/>
                <w:i w:val="false"/>
                <w:color w:val="000000"/>
                <w:sz w:val="22"/>
              </w:rPr>
              <w:t>, &amp; AAC</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85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$93M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AT&amp;L-KM</w:t>
            </w:r>
            <w:r>
              <w:rPr>
                <w:rFonts w:ascii="Times New Roman" w:hAnsi="Times New Roman"/>
                <w:b w:val="false"/>
                <w:i w:val="false"/>
                <w:color w:val="000000"/>
                <w:vertAlign w:val="superscript"/>
              </w:rPr>
              <w:t>3</w:t>
            </w:r>
            <w:r>
              <w:rPr>
                <w:rFonts w:ascii="Times New Roman" w:hAnsi="Times New Roman"/>
                <w:b w:val="false"/>
                <w:i w:val="false"/>
                <w:color w:val="000000"/>
                <w:sz w:val="22"/>
              </w:rPr>
              <w:t>, &amp; AAC</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4a. Requests for Proposals, Invitations for</w:t>
            </w:r>
            <w:r>
              <w:rPr>
                <w:rFonts w:ascii="Times New Roman" w:hAnsi="Times New Roman"/>
                <w:b/>
                <w:i w:val="false"/>
                <w:color w:val="000000"/>
                <w:sz w:val="22"/>
              </w:rPr>
              <w:t>Bids, and Requests for Quotes</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$20M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$20M, but less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100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SSAC-C (if applicable), &amp; SSA</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r>
              <w:rPr>
                <w:rFonts w:ascii="Times New Roman" w:hAnsi="Times New Roman"/>
                <w:b w:val="false"/>
                <w:i w:val="false"/>
                <w:color w:val="000000"/>
                <w:vertAlign w:val="superscript"/>
              </w:rPr>
              <w:t>3</w:t>
            </w:r>
          </w:p>
        </w:tc>
      </w:tr>
      <w:tr>
        <w:trPr>
          <w:trHeight w:val="100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&amp;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r>
              <w:rPr>
                <w:rFonts w:ascii="Times New Roman" w:hAnsi="Times New Roman"/>
                <w:b w:val="false"/>
                <w:i w:val="false"/>
                <w:color w:val="000000"/>
                <w:vertAlign w:val="superscript"/>
              </w:rPr>
              <w:t>3</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4b. Requests for Final Proposals Revisions (</w:t>
            </w:r>
            <w:r>
              <w:rPr>
                <w:rFonts w:ascii="Times New Roman" w:hAnsi="Times New Roman"/>
                <w:b/>
                <w:i w:val="false"/>
                <w:color w:val="000000"/>
                <w:sz w:val="22"/>
              </w:rPr>
              <w:t>C</w:t>
            </w:r>
            <w:r>
              <w:rPr>
                <w:rFonts w:ascii="Times New Roman" w:hAnsi="Times New Roman"/>
                <w:b/>
                <w:i w:val="false"/>
                <w:color w:val="000000"/>
                <w:sz w:val="22"/>
              </w:rPr>
              <w:t>ompetitive -</w:t>
            </w:r>
            <w:r>
              <w:rPr>
                <w:rFonts w:ascii="Times New Roman" w:hAnsi="Times New Roman"/>
                <w:b/>
                <w:i w:val="false"/>
                <w:color w:val="000000"/>
                <w:sz w:val="22"/>
              </w:rPr>
              <w:t>if applicable)</w:t>
            </w:r>
          </w:p>
        </w:tc>
      </w:tr>
      <w:tr>
        <w:trPr>
          <w:trHeight w:val="85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SSAC-C (if applicable) &amp; SOF AT&amp;L-KM</w:t>
            </w:r>
            <w:r>
              <w:rPr>
                <w:rFonts w:ascii="Times New Roman" w:hAnsi="Times New Roman"/>
                <w:b w:val="false"/>
                <w:i w:val="false"/>
                <w:color w:val="000000"/>
                <w:vertAlign w:val="superscript"/>
              </w:rPr>
              <w:t>3</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$20M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$20M, but less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100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&amp;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r>
              <w:rPr>
                <w:rFonts w:ascii="Times New Roman" w:hAnsi="Times New Roman"/>
                <w:b w:val="false"/>
                <w:i w:val="false"/>
                <w:color w:val="000000"/>
                <w:vertAlign w:val="superscript"/>
              </w:rPr>
              <w:t>3</w:t>
            </w:r>
          </w:p>
        </w:tc>
      </w:tr>
      <w:tr>
        <w:trPr>
          <w:trHeight w:val="130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HCD</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r>
              <w:rPr>
                <w:rFonts w:ascii="Times New Roman" w:hAnsi="Times New Roman"/>
                <w:b w:val="false"/>
                <w:i w:val="false"/>
                <w:color w:val="000000"/>
                <w:vertAlign w:val="superscript"/>
              </w:rPr>
              <w:t>3</w:t>
            </w:r>
          </w:p>
        </w:tc>
      </w:tr>
      <w:tr>
        <w:trPr>
          <w:trHeight w:val="58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HCD, &amp; DPC</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r>
              <w:rPr>
                <w:rFonts w:ascii="Times New Roman" w:hAnsi="Times New Roman"/>
                <w:b w:val="false"/>
                <w:i w:val="false"/>
                <w:color w:val="000000"/>
                <w:vertAlign w:val="superscript"/>
              </w:rPr>
              <w:t>3</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 Clearance</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$20M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$20M, but less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58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HCD</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r>
              <w:rPr>
                <w:rFonts w:ascii="Times New Roman" w:hAnsi="Times New Roman"/>
                <w:b w:val="false"/>
                <w:i w:val="false"/>
                <w:color w:val="000000"/>
                <w:vertAlign w:val="superscript"/>
              </w:rPr>
              <w:t>3</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HCD</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r>
              <w:rPr>
                <w:rFonts w:ascii="Times New Roman" w:hAnsi="Times New Roman"/>
                <w:b w:val="false"/>
                <w:i w:val="false"/>
                <w:color w:val="000000"/>
                <w:vertAlign w:val="superscript"/>
              </w:rPr>
              <w:t>3</w:t>
            </w:r>
          </w:p>
        </w:tc>
      </w:tr>
      <w:tr>
        <w:trPr>
          <w:trHeight w:val="58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HCD, &amp; DPC</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r>
              <w:rPr>
                <w:rFonts w:ascii="Times New Roman" w:hAnsi="Times New Roman"/>
                <w:b w:val="false"/>
                <w:i w:val="false"/>
                <w:color w:val="000000"/>
                <w:vertAlign w:val="superscript"/>
              </w:rPr>
              <w:t>3</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$6.5M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$6.5M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Post Award Peer Reviews (Required for Services Only</w:t>
            </w:r>
            <w:r>
              <w:rPr>
                <w:rFonts w:ascii="Times New Roman" w:hAnsi="Times New Roman"/>
                <w:b/>
                <w:i w:val="false"/>
                <w:color w:val="000000"/>
                <w:sz w:val="22"/>
              </w:rPr>
              <w:t>-See SOFARS</w:t>
            </w:r>
            <w:r>
              <w:rPr>
                <w:rFonts w:ascii="Times New Roman" w:hAnsi="Times New Roman"/>
                <w:b/>
                <w:i w:val="false"/>
                <w:color w:val="000000"/>
                <w:sz w:val="22"/>
              </w:rPr>
              <w:t>5601.</w:t>
            </w:r>
            <w:r>
              <w:rPr>
                <w:rFonts w:ascii="Times New Roman" w:hAnsi="Times New Roman"/>
                <w:b/>
                <w:i w:val="false"/>
                <w:color w:val="000000"/>
                <w:sz w:val="22"/>
              </w:rPr>
              <w:t>170</w:t>
            </w:r>
            <w:r>
              <w:rPr>
                <w:rFonts w:ascii="Times New Roman" w:hAnsi="Times New Roman"/>
                <w:b/>
                <w:i w:val="false"/>
                <w:color w:val="000000"/>
                <w:sz w:val="22"/>
              </w:rPr>
              <w:t>)</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HCD &amp; SOF AT&amp;L-KM</w:t>
            </w:r>
            <w:r>
              <w:rPr>
                <w:rFonts w:ascii="Times New Roman" w:hAnsi="Times New Roman"/>
                <w:b w:val="false"/>
                <w:i w:val="false"/>
                <w:color w:val="000000"/>
                <w:vertAlign w:val="superscript"/>
              </w:rPr>
              <w:t>3</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u w:val="single"/>
              </w:rPr>
              <w:t>N/A</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Ratifications</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the SAT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85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the SAT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&amp; SOF AT&amp;L-KM</w:t>
            </w:r>
            <w:r>
              <w:rPr>
                <w:rFonts w:ascii="Times New Roman" w:hAnsi="Times New Roman"/>
                <w:b w:val="false"/>
                <w:i w:val="false"/>
                <w:color w:val="000000"/>
                <w:vertAlign w:val="superscript"/>
              </w:rPr>
              <w:t>3</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 Terminations</w:t>
            </w:r>
          </w:p>
        </w:tc>
      </w:tr>
      <w:tr>
        <w:trPr>
          <w:trHeight w:val="58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Default/Cause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AT&amp;L-KM</w:t>
            </w:r>
            <w:r>
              <w:rPr>
                <w:rFonts w:ascii="Times New Roman" w:hAnsi="Times New Roman"/>
                <w:b w:val="false"/>
                <w:i w:val="false"/>
                <w:color w:val="000000"/>
                <w:vertAlign w:val="superscript"/>
              </w:rPr>
              <w:t>3</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$6.5M)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$6.5M)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322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bscript"/>
              </w:rPr>
              <w:t>1</w:t>
            </w:r>
            <w:r>
              <w:rPr>
                <w:rFonts w:ascii="Times New Roman" w:hAnsi="Times New Roman"/>
                <w:b w:val="false"/>
                <w:i w:val="false"/>
                <w:color w:val="000000"/>
                <w:sz w:val="22"/>
              </w:rPr>
              <w:t xml:space="preserve"> When the HCD is also the KO, approval authority is one level above the HCD.</w:t>
            </w:r>
          </w:p>
          <w:p>
            <w:pPr>
              <w:pBdr>
                <w:top w:space="5"/>
                <w:left w:space="5"/>
                <w:bottom w:space="5"/>
                <w:right w:space="5"/>
              </w:pBdr>
              <w:spacing w:after="0"/>
              <w:ind w:left="240"/>
              <w:jc w:val="left"/>
            </w:pPr>
            <w:r>
              <w:rPr>
                <w:rFonts w:ascii="Times New Roman" w:hAnsi="Times New Roman"/>
                <w:b w:val="false"/>
                <w:i w:val="false"/>
                <w:color w:val="000000"/>
                <w:vertAlign w:val="subscript"/>
              </w:rPr>
              <w:t>2</w:t>
            </w:r>
            <w:r>
              <w:rPr>
                <w:rFonts w:ascii="Times New Roman" w:hAnsi="Times New Roman"/>
                <w:b w:val="false"/>
                <w:i w:val="false"/>
                <w:color w:val="000000"/>
                <w:sz w:val="22"/>
              </w:rPr>
              <w:t xml:space="preserve"> When the HCD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vertAlign w:val="subscript"/>
              </w:rPr>
              <w:t>3</w:t>
            </w:r>
            <w:r>
              <w:rPr>
                <w:rFonts w:ascii="Times New Roman" w:hAnsi="Times New Roman"/>
                <w:b w:val="false"/>
                <w:i w:val="false"/>
                <w:color w:val="000000"/>
                <w:sz w:val="22"/>
              </w:rPr>
              <w:t xml:space="preserve"> For SOF AT&amp;L-KP, the cognizant policy LNO for review and approvals is SOF AT&amp;L-KB.</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Attachment_5601-1.1b.dita#SOFARS_Attachment_5601-1.1b/VMJujv" Type="http://schemas.openxmlformats.org/officeDocument/2006/relationships/hyperlink" Id="rId4"/>
    <Relationship TargetMode="External" Target="Attachment_5601-1.1b.dita#SOFARS_Attachment_5601-1.1b/qXRnPM" Type="http://schemas.openxmlformats.org/officeDocument/2006/relationships/hyperlink" Id="rId5"/>
    <Relationship TargetMode="External" Target="Attachment_5601-1.2k.dita#SOFARS_Attachment_5601-1.2k/T1QFfA"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