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**ID__SOFARS_Attachment_5601-1.2f__ID**</w:t>
      </w:r>
    </w:p>
    <w:p>
      <w:pPr>
        <w:pStyle w:val="Heading2"/>
        <w:spacing w:after="180"/>
        <w:ind w:left="120"/>
        <w:jc w:val="center"/>
      </w:pPr>
      <w:r>
        <w:rPr>
          <w:rFonts w:ascii="Times New Roman" w:hAnsi="Times New Roman"/>
          <w:color w:val="000000"/>
        </w:rPr>
        <w:t>Attachment 5601-1.2</w:t>
      </w:r>
      <w:r>
        <w:rPr>
          <w:rFonts w:ascii="Times New Roman" w:hAnsi="Times New Roman"/>
          <w:color w:val="000000"/>
        </w:rPr>
        <w:t>f</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w:t>
            </w:r>
            <w:r>
              <w:rPr>
                <w:rFonts w:ascii="Times New Roman" w:hAnsi="Times New Roman"/>
                <w:b/>
                <w:i w:val="false"/>
                <w:color w:val="000000"/>
                <w:sz w:val="22"/>
              </w:rPr>
              <w:t>January 2020</w:t>
            </w:r>
          </w:p>
        </w:tc>
      </w:tr>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Contracting Officer warrant levels)</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MARSOC</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Acquisition Plan</w:t>
            </w:r>
            <w:r>
              <w:rPr>
                <w:rFonts w:ascii="Times New Roman" w:hAnsi="Times New Roman"/>
                <w:b/>
                <w:i w:val="false"/>
                <w:color w:val="000000"/>
                <w:sz w:val="22"/>
              </w:rPr>
              <w:t>(See</w:t>
            </w:r>
            <w:hyperlink r:id="rId4">
              <w:r>
                <w:rPr>
                  <w:rStyle w:val="Hyperlink"/>
                  <w:rFonts w:ascii="Times New Roman" w:hAnsi="Times New Roman"/>
                  <w:b w:val="false"/>
                  <w:i w:val="false"/>
                  <w:color w:val="0000ff"/>
                  <w:sz w:val="22"/>
                  <w:u w:val="single"/>
                </w:rPr>
                <w:t>Acquisition Strategy for Services</w:t>
              </w:r>
            </w:hyperlink>
            <w:r>
              <w:rPr>
                <w:rFonts w:ascii="Times New Roman" w:hAnsi="Times New Roman"/>
                <w:b/>
                <w:i w:val="false"/>
                <w:color w:val="000000"/>
                <w:sz w:val="22"/>
              </w:rPr>
              <w:t>)</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Development: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Production: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$25M in any one year or equal to or greater than $50M for all years.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 xml:space="preserve"> For Services refer to 5601-1.2l </w:t>
            </w:r>
            <w:hyperlink r:id="rId5">
              <w:r>
                <w:rPr>
                  <w:rStyle w:val="Hyperlink"/>
                  <w:rFonts w:ascii="Times New Roman" w:hAnsi="Times New Roman"/>
                  <w:b w:val="false"/>
                  <w:i w:val="false"/>
                  <w:color w:val="0000ff"/>
                  <w:sz w:val="22"/>
                  <w:u w:val="single"/>
                </w:rPr>
                <w:t>Note 1</w:t>
              </w:r>
            </w:hyperlink>
            <w:r>
              <w:rPr>
                <w:rFonts w:ascii="Times New Roman" w:hAnsi="Times New Roman"/>
                <w:b w:val="false"/>
                <w:i w:val="false"/>
                <w:color w:val="000000"/>
                <w:sz w:val="22"/>
              </w:rPr>
              <w:t xml:space="preserve"> &amp; </w:t>
            </w:r>
            <w:hyperlink r:id="rId6">
              <w:r>
                <w:rPr>
                  <w:rStyle w:val="Hyperlink"/>
                  <w:rFonts w:ascii="Times New Roman" w:hAnsi="Times New Roman"/>
                  <w:b w:val="false"/>
                  <w:i w:val="false"/>
                  <w:color w:val="0000ff"/>
                  <w:sz w:val="22"/>
                  <w:u w:val="single"/>
                </w:rPr>
                <w:t>Note 12</w:t>
              </w:r>
            </w:hyperlink>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Type of Contract D&amp;F</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Single-Award Indefinite-Quantity Contracts greater than $112M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SOF AT&amp;L-KB, &amp; HCA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Fee Contracts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6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Fee Contracts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1</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Attachment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Personal Services Contract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Contractual Action (UCA)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(greater than $1M OR greater than 3 yrs)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33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Contracts or orders with T&amp;M or LH CLINs (less than or equal to $1M AND less than or equal to 3 yrs)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r>
              <w:rPr>
                <w:rFonts w:ascii="Times New Roman" w:hAnsi="Times New Roman"/>
                <w:b w:val="false"/>
                <w:i w:val="false"/>
                <w:color w:val="000000"/>
                <w:vertAlign w:val="subscript"/>
              </w:rPr>
              <w:t>2</w:t>
            </w:r>
          </w:p>
        </w:tc>
      </w:tr>
      <w:tr>
        <w:trPr>
          <w:trHeight w:val="8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Justification and Approvals (J&amp;As), Brand Name Justifications, and Exception to Fair Opportunity</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less than</w:t>
            </w:r>
            <w:r>
              <w:rPr>
                <w:rFonts w:ascii="Times New Roman" w:hAnsi="Times New Roman"/>
                <w:b w:val="false"/>
                <w:i w:val="false"/>
                <w:color w:val="000000"/>
                <w:sz w:val="22"/>
                <w:u w:val="single"/>
              </w:rPr>
              <w:t>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 than</w:t>
            </w:r>
            <w:r>
              <w:rPr>
                <w:rFonts w:ascii="Times New Roman" w:hAnsi="Times New Roman"/>
                <w:b w:val="false"/>
                <w:i w:val="false"/>
                <w:color w:val="000000"/>
                <w:sz w:val="22"/>
                <w:u w:val="single"/>
              </w:rPr>
              <w:t>SAT</w:t>
            </w:r>
            <w:r>
              <w:rPr>
                <w:rFonts w:ascii="Times New Roman" w:hAnsi="Times New Roman"/>
                <w:b w:val="false"/>
                <w:i w:val="false"/>
                <w:color w:val="000000"/>
                <w:sz w:val="22"/>
                <w:u w:val="single"/>
              </w:rPr>
              <w:t>but less than $700,000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PAAC</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$700,000 but less than $13.5M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AAC</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$13.5M, but less than $93M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&amp; AAC</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$93M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 Legal, SOF AT&amp;L-KB, AAC, &amp; HCA</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SPE</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Requests for Proposals, Invitations for Bids, and Requests for Quotes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Business Clearance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Contract Clearance</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SAT but less than $750,000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$750,000 but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Source Selection or Evaluation Plans</w:t>
            </w:r>
          </w:p>
        </w:tc>
      </w:tr>
      <w:tr>
        <w:trPr>
          <w:trHeight w:val="75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SSA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Ratifications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 &amp;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FCO &amp; SOF AT&amp;L-KB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9. Terminations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(equal to or less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KO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 (greater than the SAT)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Legal &amp; FCO</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AT&amp;L-KB</w:t>
            </w:r>
          </w:p>
        </w:tc>
      </w:tr>
      <w:tr>
        <w:trPr>
          <w:trHeight w:val="246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bscript"/>
              </w:rPr>
              <w:t>1</w:t>
            </w:r>
            <w:r>
              <w:rPr>
                <w:rFonts w:ascii="Times New Roman" w:hAnsi="Times New Roman"/>
                <w:b w:val="false"/>
                <w:i w:val="false"/>
                <w:color w:val="000000"/>
                <w:sz w:val="22"/>
              </w:rPr>
              <w:t xml:space="preserve"> When the FCO is also the KO, approval authority is one level above the FCO.</w:t>
            </w:r>
          </w:p>
          <w:p>
            <w:pPr>
              <w:pBdr>
                <w:top w:space="5"/>
                <w:left w:space="5"/>
                <w:bottom w:space="5"/>
                <w:right w:space="5"/>
              </w:pBdr>
              <w:spacing w:after="0"/>
              <w:ind w:left="240"/>
              <w:jc w:val="left"/>
            </w:pPr>
            <w:r>
              <w:rPr>
                <w:rFonts w:ascii="Times New Roman" w:hAnsi="Times New Roman"/>
                <w:b w:val="false"/>
                <w:i w:val="false"/>
                <w:color w:val="000000"/>
                <w:vertAlign w:val="subscript"/>
              </w:rPr>
              <w:t>2</w:t>
            </w:r>
            <w:r>
              <w:rPr>
                <w:rFonts w:ascii="Times New Roman" w:hAnsi="Times New Roman"/>
                <w:b w:val="false"/>
                <w:i w:val="false"/>
                <w:color w:val="000000"/>
                <w:sz w:val="22"/>
              </w:rPr>
              <w:t xml:space="preserve"> When the FCO is also the KO, the approval authority will be the HCA.</w:t>
            </w:r>
          </w:p>
          <w:p>
            <w:pPr>
              <w:pBdr>
                <w:top w:space="5"/>
                <w:left w:space="5"/>
                <w:bottom w:space="5"/>
                <w:right w:space="5"/>
              </w:pBdr>
              <w:spacing w:after="0"/>
              <w:ind w:left="240"/>
              <w:jc w:val="left"/>
            </w:pPr>
            <w:r>
              <w:rPr>
                <w:rFonts w:ascii="Times New Roman" w:hAnsi="Times New Roman"/>
                <w:b w:val="false"/>
                <w:i w:val="false"/>
                <w:color w:val="000000"/>
                <w:sz w:val="22"/>
              </w:rPr>
              <w:t>NOTE: The USSOCOM Acquisition Executive/Senior Procurement Executive (AE/SPE) designates as, and delegates the duties of, the USSOCOM Agency Advocate for Competition (AAC) to the Deputy Director of Procurement, and the Procuring Activity Advocate for Competition (PAAC) to each Division Chief of SOF AT&amp;L-KF/KH/KP/KW/KI/KR/KS and Field Contracting Office Chiefs.</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Attachment_5601-1.2k.dita#SOFARS_Attachment_5601-1.2k/T1QFfA" Type="http://schemas.openxmlformats.org/officeDocument/2006/relationships/hyperlink" Id="rId4"/>
    <Relationship TargetMode="External" Target="Attachment_5601-1.1b.dita#SOFARS_Attachment_5601-1.1b/VMJujv" Type="http://schemas.openxmlformats.org/officeDocument/2006/relationships/hyperlink" Id="rId5"/>
    <Relationship TargetMode="External" Target="Attachment_5601-1.1b.dita#SOFARS_Attachment_5601-1.1b/qXRnPM"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