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**ID__SOFARS_Attachment_5601-2.2a__ID**</w:t>
      </w:r>
    </w:p>
    <w:p>
      <w:pPr>
        <w:pStyle w:val="Heading2"/>
        <w:spacing w:after="180"/>
        <w:ind w:left="120"/>
        <w:jc w:val="center"/>
      </w:pPr>
      <w:r>
        <w:rPr>
          <w:rFonts w:ascii="Times New Roman" w:hAnsi="Times New Roman"/>
          <w:color w:val="000000"/>
        </w:rPr>
        <w:t>Attachment 5601-2.2</w:t>
      </w:r>
      <w:r>
        <w:rPr>
          <w:rFonts w:ascii="Times New Roman" w:hAnsi="Times New Roman"/>
          <w:color w:val="000000"/>
        </w:rPr>
        <w:t>a</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AT&amp;L-KF/KH/KP/KW/KI/KR/KS</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$3M, but less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$5M, but less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 KM</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$3M, but less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35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HCD</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HCD, Legal, &amp; SOF AT&amp;L-KM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1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HCD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HCD is also the AO, the approval authority will be the HCA.</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