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**ID__SOFARS_Attachment_5601-2.2b__ID**</w:t>
      </w:r>
    </w:p>
    <w:p>
      <w:pPr>
        <w:pStyle w:val="Heading2"/>
        <w:spacing w:after="180"/>
        <w:ind w:left="120"/>
        <w:jc w:val="center"/>
      </w:pPr>
      <w:r>
        <w:rPr>
          <w:rFonts w:ascii="Times New Roman" w:hAnsi="Times New Roman"/>
          <w:color w:val="000000"/>
        </w:rPr>
        <w:t>Attachment 5601-2.2</w:t>
      </w:r>
      <w:r>
        <w:rPr>
          <w:rFonts w:ascii="Times New Roman" w:hAnsi="Times New Roman"/>
          <w:color w:val="000000"/>
        </w:rPr>
        <w:t>b</w:t>
      </w:r>
    </w:p>
    <w:tbl>
      <w:tblPr>
        <w:tblW w:w="0" w:type="auto"/>
        <w:tblCellSpacing w:w="10" w:type="dxa"/>
        <w:tblInd w:w="115" w:type="dxa"/>
        <w:tblBorders>
          <w:top w:val="inset" w:color="000000" w:sz="8"/>
          <w:left w:val="inset" w:color="000000" w:sz="8"/>
          <w:bottom w:val="inset" w:color="000000" w:sz="8"/>
          <w:right w:val="inset" w:color="000000" w:sz="8"/>
          <w:insideH w:val="none"/>
          <w:insideV w:val="none"/>
        </w:tblBorders>
      </w:tblPr>
      <w:tblGrid>
        <w:gridCol w:w="4524"/>
        <w:gridCol w:w="4525"/>
        <w:gridCol w:w="4525"/>
      </w:tblGrid>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Attachment 5601-2</w:t>
            </w:r>
            <w:r>
              <w:rPr>
                <w:rFonts w:ascii="Times New Roman" w:hAnsi="Times New Roman"/>
                <w:b/>
                <w:i w:val="false"/>
                <w:color w:val="000000"/>
                <w:sz w:val="22"/>
              </w:rPr>
              <w:t>.2</w:t>
            </w:r>
            <w:r>
              <w:rPr>
                <w:rFonts w:ascii="Times New Roman" w:hAnsi="Times New Roman"/>
                <w:b/>
                <w:i w:val="false"/>
                <w:color w:val="000000"/>
                <w:sz w:val="22"/>
              </w:rPr>
              <w:t>b</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 LEVELS OF AUTHORITY AND DOCUMENT REVIEW</w:t>
            </w:r>
            <w:r>
              <w:rPr>
                <w:rFonts w:ascii="Times New Roman" w:hAnsi="Times New Roman"/>
                <w:b/>
                <w:i w:val="false"/>
                <w:color w:val="000000"/>
                <w:sz w:val="22"/>
              </w:rPr>
              <w:t>– January 2020</w:t>
            </w:r>
          </w:p>
        </w:tc>
      </w:tr>
      <w:tr>
        <w:trPr>
          <w:trHeight w:val="52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(unless further restricted by individual Agreements Officer warrant levels)</w:t>
            </w:r>
          </w:p>
        </w:tc>
      </w:tr>
      <w:tr>
        <w:trPr>
          <w:trHeight w:val="54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SOFSA</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ACTION</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REVIEW</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i w:val="false"/>
                <w:color w:val="000000"/>
                <w:sz w:val="22"/>
              </w:rPr>
              <w:t>APPROVAL</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1. Use of OT Authority D&amp;F</w:t>
            </w:r>
            <w:r>
              <w:rPr>
                <w:rFonts w:ascii="Times New Roman" w:hAnsi="Times New Roman"/>
                <w:b w:val="false"/>
                <w:i w:val="false"/>
                <w:color w:val="000000"/>
                <w:vertAlign w:val="superscript"/>
              </w:rPr>
              <w:t>1</w:t>
            </w:r>
          </w:p>
        </w:tc>
      </w:tr>
      <w:tr>
        <w:trPr>
          <w:trHeight w:val="8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See Note 1 for calculating the value of OTs that include multiple transactions, phases, or follow-on production.</w:t>
            </w:r>
          </w:p>
        </w:tc>
      </w:tr>
      <w:tr>
        <w:trPr>
          <w:trHeight w:val="54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Competitive OT Procedures: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Sole</w:t>
            </w:r>
            <w:r>
              <w:rPr>
                <w:rFonts w:ascii="Times New Roman" w:hAnsi="Times New Roman"/>
                <w:b/>
                <w:i w:val="false"/>
                <w:color w:val="000000"/>
                <w:sz w:val="22"/>
                <w:u w:val="single"/>
              </w:rPr>
              <w:t>source / Non-competitive OT</w:t>
            </w:r>
            <w:r>
              <w:rPr>
                <w:rFonts w:ascii="Times New Roman" w:hAnsi="Times New Roman"/>
                <w:b/>
                <w:i w:val="false"/>
                <w:color w:val="000000"/>
                <w:sz w:val="22"/>
                <w:u w:val="single"/>
              </w:rPr>
              <w:t>:</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$1M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$1M, but less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127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Greater</w:t>
            </w:r>
            <w:r>
              <w:rPr>
                <w:rFonts w:ascii="Times New Roman" w:hAnsi="Times New Roman"/>
                <w:b w:val="false"/>
                <w:i w:val="false"/>
                <w:color w:val="000000"/>
                <w:sz w:val="22"/>
                <w:u w:val="single"/>
              </w:rPr>
              <w:t>than $250,000, but less than $5</w:t>
            </w:r>
            <w:r>
              <w:rPr>
                <w:rFonts w:ascii="Times New Roman" w:hAnsi="Times New Roman"/>
                <w:b w:val="false"/>
                <w:i w:val="false"/>
                <w:color w:val="000000"/>
                <w:sz w:val="22"/>
                <w:u w:val="single"/>
              </w:rPr>
              <w:t>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E</w:t>
            </w:r>
            <w:r>
              <w:rPr>
                <w:rFonts w:ascii="Times New Roman" w:hAnsi="Times New Roman"/>
                <w:b w:val="false"/>
                <w:i w:val="false"/>
                <w:color w:val="000000"/>
                <w:sz w:val="22"/>
                <w:u w:val="single"/>
              </w:rPr>
              <w:t>qual to or greater than $5</w:t>
            </w:r>
            <w:r>
              <w:rPr>
                <w:rFonts w:ascii="Times New Roman" w:hAnsi="Times New Roman"/>
                <w:b w:val="false"/>
                <w:i w:val="false"/>
                <w:color w:val="000000"/>
                <w:sz w:val="22"/>
                <w:u w:val="single"/>
              </w:rPr>
              <w:t>M, but less than $100M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$100M, but less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$500M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SOF AT&amp;L-KM, HCA, &amp; SPE</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USD(R&amp;E) or USD(A&amp;S)</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2.Requests for Proposals, Solicitations, and Requests for White Papers</w:t>
            </w:r>
            <w:r>
              <w:rPr>
                <w:rFonts w:ascii="Times New Roman" w:hAnsi="Times New Roman"/>
                <w:b w:val="false"/>
                <w:i w:val="false"/>
                <w:color w:val="000000"/>
                <w:vertAlign w:val="super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4. Agreement Clearance</w:t>
            </w:r>
            <w:r>
              <w:rPr>
                <w:rFonts w:ascii="Times New Roman" w:hAnsi="Times New Roman"/>
                <w:b w:val="false"/>
                <w:i w:val="false"/>
                <w:color w:val="000000"/>
                <w:vertAlign w:val="superscript"/>
              </w:rPr>
              <w:t>1</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hyperlink r:id="rId4">
              <w:r>
                <w:rPr>
                  <w:rStyle w:val="Hyperlink"/>
                  <w:rFonts w:ascii="Times New Roman" w:hAnsi="Times New Roman"/>
                  <w:b w:val="false"/>
                  <w:i w:val="false"/>
                  <w:color w:val="0000ff"/>
                  <w:sz w:val="22"/>
                  <w:u w:val="single"/>
                </w:rPr>
                <w:t>http://farsite.hill.af.mil/reghtml/regs/far2afmcfars/fardfars/dfars/PGI%20201_1.htm</w:t>
              </w:r>
            </w:hyperlink>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$2M, but less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81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u w:val="single"/>
              </w:rPr>
              <w:t>Using other than RDT&amp;E Funds:</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$250,000</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AO</w:t>
            </w:r>
          </w:p>
        </w:tc>
      </w:tr>
      <w:tr>
        <w:trPr>
          <w:trHeight w:val="79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Greater than $250,000, but less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greater than $5M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SOF AT&amp;L-KM</w:t>
            </w:r>
          </w:p>
        </w:tc>
      </w:tr>
      <w:tr>
        <w:trPr>
          <w:trHeight w:val="135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color w:val="000000"/>
                <w:sz w:val="22"/>
              </w:rPr>
              <w:t>NOTE:</w:t>
            </w:r>
            <w:r>
              <w:rPr>
                <w:rFonts w:ascii="Times New Roman" w:hAnsi="Times New Roman"/>
                <w:b w:val="false"/>
                <w:i w:val="false"/>
                <w:color w:val="000000"/>
                <w:sz w:val="22"/>
              </w:rPr>
              <w:t>The Agreement Clearance is the approval of the negotiated business arrangement, to include all associated documentation. Agreement Clearance review shall be requested only after negotiations have concluded, the Agreement file is finalized, to include the Agreement Analysis Document, and prior to the Agreements Officer signing the Agreement.</w:t>
            </w:r>
          </w:p>
        </w:tc>
      </w:tr>
      <w:tr>
        <w:trPr>
          <w:trHeight w:val="585"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i w:val="false"/>
                <w:color w:val="000000"/>
                <w:sz w:val="22"/>
              </w:rPr>
              <w:t>5. Agreement Terminations</w:t>
            </w:r>
            <w:r>
              <w:rPr>
                <w:rFonts w:ascii="Times New Roman" w:hAnsi="Times New Roman"/>
                <w:b w:val="false"/>
                <w:i w:val="false"/>
                <w:color w:val="000000"/>
                <w:vertAlign w:val="superscript"/>
              </w:rPr>
              <w:t>2</w:t>
            </w:r>
          </w:p>
        </w:tc>
      </w:tr>
      <w:tr>
        <w:trPr>
          <w:trHeight w:val="525"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rPr>
              <w:t>Equal to or less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Legal</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FCO</w:t>
            </w:r>
          </w:p>
        </w:tc>
      </w:tr>
      <w:tr>
        <w:trPr>
          <w:trHeight w:val="1050" w:hRule="atLeast"/>
        </w:trPr>
        <w:tc>
          <w:tcPr>
            <w:tcW w:w="4524"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sz w:val="22"/>
                <w:u w:val="single"/>
              </w:rPr>
              <w:t>Greater than $2M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Peer Review, FCO, Legal, &amp; SOF AT&amp;L-KM</w:t>
            </w:r>
          </w:p>
        </w:tc>
        <w:tc>
          <w:tcPr>
            <w:tcW w:w="4525" w:type="dxa"/>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center"/>
            </w:pPr>
            <w:r>
              <w:rPr>
                <w:rFonts w:ascii="Times New Roman" w:hAnsi="Times New Roman"/>
                <w:b w:val="false"/>
                <w:i w:val="false"/>
                <w:color w:val="000000"/>
                <w:sz w:val="22"/>
              </w:rPr>
              <w:t>HCA</w:t>
            </w:r>
          </w:p>
        </w:tc>
      </w:tr>
      <w:tr>
        <w:trPr>
          <w:trHeight w:val="1110" w:hRule="atLeast"/>
        </w:trPr>
        <w:tc>
          <w:tcPr>
            <w:tcW w:w="0" w:type="auto"/>
            <w:gridSpan w:val="3"/>
            <w:tcBorders>
              <w:top w:val="outset" w:color="000000" w:sz="8"/>
              <w:left w:val="outset" w:color="000000" w:sz="8"/>
              <w:bottom w:val="outset" w:color="000000" w:sz="8"/>
              <w:right w:val="outset" w:color="000000" w:sz="8"/>
            </w:tcBorders>
            <w:tcMar>
              <w:top w:w="15" w:type="dxa"/>
              <w:left w:w="15" w:type="dxa"/>
              <w:bottom w:w="15" w:type="dxa"/>
              <w:right w:w="15" w:type="dxa"/>
            </w:tcMar>
            <w:vAlign w:val="center"/>
          </w:tcPr>
          <w:p>
            <w:pPr>
              <w:pBdr>
                <w:top w:space="5"/>
                <w:left w:space="5"/>
                <w:bottom w:space="5"/>
                <w:right w:space="5"/>
              </w:pBdr>
              <w:spacing w:after="0"/>
              <w:ind w:left="240"/>
              <w:jc w:val="left"/>
            </w:pPr>
            <w:r>
              <w:rPr>
                <w:rFonts w:ascii="Times New Roman" w:hAnsi="Times New Roman"/>
                <w:b w:val="false"/>
                <w:i w:val="false"/>
                <w:color w:val="000000"/>
                <w:vertAlign w:val="superscript"/>
              </w:rPr>
              <w:t>1</w:t>
            </w:r>
            <w:r>
              <w:rPr>
                <w:rFonts w:ascii="Times New Roman" w:hAnsi="Times New Roman"/>
                <w:b w:val="false"/>
                <w:i w:val="false"/>
                <w:color w:val="000000"/>
                <w:sz w:val="22"/>
              </w:rPr>
              <w:t xml:space="preserve"> When the FCO is also the AO, approval authority is one level above the Agreements officer.</w:t>
            </w:r>
          </w:p>
          <w:p>
            <w:pPr>
              <w:pBdr>
                <w:top w:space="5"/>
                <w:left w:space="5"/>
                <w:bottom w:space="5"/>
                <w:right w:space="5"/>
              </w:pBdr>
              <w:spacing w:after="0"/>
              <w:ind w:left="240"/>
              <w:jc w:val="left"/>
            </w:pPr>
            <w:r>
              <w:rPr>
                <w:rFonts w:ascii="Times New Roman" w:hAnsi="Times New Roman"/>
                <w:b w:val="false"/>
                <w:i w:val="false"/>
                <w:color w:val="000000"/>
                <w:vertAlign w:val="superscript"/>
              </w:rPr>
              <w:t>2</w:t>
            </w:r>
            <w:r>
              <w:rPr>
                <w:rFonts w:ascii="Times New Roman" w:hAnsi="Times New Roman"/>
                <w:b w:val="false"/>
                <w:i w:val="false"/>
                <w:color w:val="000000"/>
                <w:sz w:val="22"/>
              </w:rPr>
              <w:t xml:space="preserve"> When the FCO is also the AO, the approval authority will be the HCA.</w:t>
            </w:r>
          </w:p>
        </w:tc>
      </w:tr>
    </w:tbl>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farsite.hill.af.mil/reghtml/regs/far2afmcfars/fardfars/dfars/PGI%20201_1.htm"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