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**ID__SOFARS_Attachment_5601-2.2j__ID**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j</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and SP-2</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